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4708CE" w:rsidRPr="005558F7" w:rsidTr="00AA4F96">
        <w:tc>
          <w:tcPr>
            <w:tcW w:w="568" w:type="dxa"/>
            <w:vAlign w:val="center"/>
          </w:tcPr>
          <w:p w:rsidR="004708CE" w:rsidRPr="00E03868" w:rsidRDefault="004708CE"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4708CE" w:rsidRPr="00AA4F96" w:rsidRDefault="004708CE" w:rsidP="0059063A">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11UY0014-3 ALÜMİNYUM KAYNAKÇISI </w:t>
            </w:r>
          </w:p>
        </w:tc>
      </w:tr>
      <w:tr w:rsidR="004708CE" w:rsidRPr="005558F7" w:rsidTr="00AA4F96">
        <w:trPr>
          <w:trHeight w:val="772"/>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8B06F2" w:rsidRPr="00AA4F96" w:rsidRDefault="008B06F2" w:rsidP="008B06F2">
            <w:pPr>
              <w:pStyle w:val="Default"/>
              <w:rPr>
                <w:rFonts w:asciiTheme="majorHAnsi" w:eastAsia="Times New Roman" w:hAnsiTheme="majorHAnsi" w:cs="Tahoma"/>
                <w:color w:val="auto"/>
                <w:sz w:val="16"/>
                <w:szCs w:val="16"/>
                <w:lang w:eastAsia="tr-TR"/>
              </w:rPr>
            </w:pPr>
            <w:r w:rsidRPr="00AA4F96">
              <w:rPr>
                <w:rFonts w:asciiTheme="majorHAnsi" w:eastAsia="Times New Roman" w:hAnsiTheme="majorHAnsi" w:cs="Tahoma"/>
                <w:color w:val="auto"/>
                <w:sz w:val="16"/>
                <w:szCs w:val="16"/>
                <w:lang w:eastAsia="tr-TR"/>
              </w:rPr>
              <w:t xml:space="preserve">Bu yeterlilik, alüminyum ve alaşımlarının ergitmeli kaynak yöntemlerinden birini elle veya yarı mekanize donanım kullanarak gerçekleştiren kaynakçıların yeterliğinin belirlenmesi, sınanması ve belgelendirilmesi amacıyla hazırlanmıştır. Bu yeterlilikin amacı; </w:t>
            </w:r>
          </w:p>
          <w:p w:rsidR="008B06F2" w:rsidRPr="00AA4F96" w:rsidRDefault="008B06F2" w:rsidP="008B06F2">
            <w:pPr>
              <w:pStyle w:val="Default"/>
              <w:rPr>
                <w:rFonts w:asciiTheme="majorHAnsi" w:eastAsia="Times New Roman" w:hAnsiTheme="majorHAnsi" w:cs="Tahoma"/>
                <w:color w:val="auto"/>
                <w:sz w:val="16"/>
                <w:szCs w:val="16"/>
                <w:lang w:eastAsia="tr-TR"/>
              </w:rPr>
            </w:pPr>
            <w:r w:rsidRPr="00AA4F96">
              <w:rPr>
                <w:rFonts w:asciiTheme="majorHAnsi" w:eastAsia="Times New Roman" w:hAnsiTheme="majorHAnsi" w:cs="Tahoma"/>
                <w:color w:val="auto"/>
                <w:sz w:val="16"/>
                <w:szCs w:val="16"/>
                <w:lang w:eastAsia="tr-TR"/>
              </w:rPr>
              <w:t xml:space="preserve">•Adayların sahip olması gereken nitelikleri, bilgi, beceri ve yetkinlikleri tanımlamak, </w:t>
            </w:r>
          </w:p>
          <w:p w:rsidR="008B06F2" w:rsidRPr="00AA4F96" w:rsidRDefault="008B06F2" w:rsidP="008B06F2">
            <w:pPr>
              <w:pStyle w:val="Default"/>
              <w:rPr>
                <w:rFonts w:asciiTheme="majorHAnsi" w:eastAsia="Times New Roman" w:hAnsiTheme="majorHAnsi" w:cs="Tahoma"/>
                <w:color w:val="auto"/>
                <w:sz w:val="16"/>
                <w:szCs w:val="16"/>
                <w:lang w:eastAsia="tr-TR"/>
              </w:rPr>
            </w:pPr>
            <w:r w:rsidRPr="00AA4F96">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4478C" w:rsidRPr="0024478C" w:rsidRDefault="008B06F2" w:rsidP="008B06F2">
            <w:pPr>
              <w:spacing w:after="40"/>
              <w:rPr>
                <w:sz w:val="23"/>
                <w:szCs w:val="23"/>
              </w:rPr>
            </w:pPr>
            <w:r w:rsidRPr="00AA4F96">
              <w:rPr>
                <w:rFonts w:asciiTheme="majorHAnsi" w:eastAsia="Times New Roman" w:hAnsiTheme="majorHAnsi" w:cs="Tahoma"/>
                <w:sz w:val="16"/>
                <w:szCs w:val="16"/>
                <w:lang w:eastAsia="tr-TR"/>
              </w:rPr>
              <w:t>•Eğitim sistemine, sınav ve belgelendirme kuruluşlarına referans ve kaynak oluşturmaktır.</w:t>
            </w:r>
            <w:r w:rsidRPr="00AA4F96">
              <w:rPr>
                <w:sz w:val="23"/>
                <w:szCs w:val="23"/>
              </w:rPr>
              <w:t xml:space="preserve"> </w:t>
            </w:r>
          </w:p>
        </w:tc>
      </w:tr>
      <w:tr w:rsidR="004708CE" w:rsidRPr="005558F7" w:rsidTr="00AA4F96">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4708CE" w:rsidRPr="00AA4F96" w:rsidRDefault="004708CE" w:rsidP="004E638C">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TS EN ISO 9606-2 Kaynakçıların Yeterlilik Sınavı-Ergitme Kaynağı-Bölüm 2: Alüminyum ve Alüminyum</w:t>
            </w:r>
          </w:p>
          <w:p w:rsidR="004708CE" w:rsidRPr="00AA4F96" w:rsidRDefault="004708CE" w:rsidP="004E638C">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Alaşımları</w:t>
            </w:r>
          </w:p>
        </w:tc>
      </w:tr>
      <w:tr w:rsidR="004708CE" w:rsidRPr="005558F7" w:rsidTr="00AA4F96">
        <w:trPr>
          <w:trHeight w:val="378"/>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4708CE" w:rsidRPr="00AA4F96" w:rsidRDefault="004708CE" w:rsidP="0059063A">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11UY0014-3 ALÜMİNYUM KAY</w:t>
            </w:r>
            <w:r w:rsidR="008B3ADF" w:rsidRPr="00AA4F96">
              <w:rPr>
                <w:rFonts w:asciiTheme="majorHAnsi" w:eastAsia="Times New Roman" w:hAnsiTheme="majorHAnsi" w:cs="Tahoma"/>
                <w:sz w:val="16"/>
                <w:szCs w:val="16"/>
                <w:lang w:eastAsia="tr-TR"/>
              </w:rPr>
              <w:t xml:space="preserve">NAKÇISI </w:t>
            </w:r>
            <w:r w:rsidR="008B3ADF" w:rsidRPr="00AA4F96">
              <w:rPr>
                <w:rFonts w:asciiTheme="majorHAnsi" w:eastAsia="Times New Roman" w:hAnsiTheme="majorHAnsi" w:cs="Tahoma"/>
                <w:b/>
                <w:i/>
                <w:sz w:val="16"/>
                <w:szCs w:val="16"/>
                <w:lang w:eastAsia="tr-TR"/>
              </w:rPr>
              <w:t>REV</w:t>
            </w:r>
            <w:r w:rsidR="0059063A" w:rsidRPr="00AA4F96">
              <w:rPr>
                <w:rFonts w:asciiTheme="majorHAnsi" w:eastAsia="Times New Roman" w:hAnsiTheme="majorHAnsi" w:cs="Tahoma"/>
                <w:b/>
                <w:i/>
                <w:sz w:val="16"/>
                <w:szCs w:val="16"/>
                <w:lang w:eastAsia="tr-TR"/>
              </w:rPr>
              <w:t>.02</w:t>
            </w:r>
          </w:p>
        </w:tc>
      </w:tr>
      <w:tr w:rsidR="004708CE" w:rsidRPr="005558F7" w:rsidTr="00AA4F96">
        <w:trPr>
          <w:trHeight w:val="133"/>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4708CE" w:rsidRPr="00AA4F96" w:rsidRDefault="004708CE" w:rsidP="00130151">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Herhangi bir ön şart aranmamaktadır.</w:t>
            </w:r>
          </w:p>
        </w:tc>
      </w:tr>
      <w:tr w:rsidR="004708CE" w:rsidRPr="005558F7" w:rsidTr="00764EE4">
        <w:trPr>
          <w:trHeight w:val="492"/>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4708CE" w:rsidRPr="00AA4F96" w:rsidRDefault="004708CE" w:rsidP="008B3AD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b/>
                <w:sz w:val="16"/>
                <w:szCs w:val="16"/>
                <w:lang w:eastAsia="tr-TR"/>
              </w:rPr>
              <w:t xml:space="preserve">FRM.155 </w:t>
            </w:r>
            <w:r w:rsidR="0059063A" w:rsidRPr="00AA4F96">
              <w:rPr>
                <w:rFonts w:asciiTheme="majorHAnsi" w:eastAsia="Times New Roman" w:hAnsiTheme="majorHAnsi" w:cs="Tahoma"/>
                <w:b/>
                <w:sz w:val="16"/>
                <w:szCs w:val="16"/>
                <w:lang w:eastAsia="tr-TR"/>
              </w:rPr>
              <w:t xml:space="preserve">Personel </w:t>
            </w:r>
            <w:r w:rsidRPr="00AA4F96">
              <w:rPr>
                <w:rFonts w:asciiTheme="majorHAnsi" w:eastAsia="Times New Roman" w:hAnsiTheme="majorHAnsi" w:cs="Tahoma"/>
                <w:b/>
                <w:sz w:val="16"/>
                <w:szCs w:val="16"/>
                <w:lang w:eastAsia="tr-TR"/>
              </w:rPr>
              <w:t>Belgelendirme Başvuru Formunda</w:t>
            </w:r>
            <w:r w:rsidRPr="00AA4F96">
              <w:rPr>
                <w:rFonts w:asciiTheme="majorHAnsi" w:eastAsia="Times New Roman" w:hAnsiTheme="majorHAnsi" w:cs="Tahoma"/>
                <w:sz w:val="16"/>
                <w:szCs w:val="16"/>
                <w:lang w:eastAsia="tr-TR"/>
              </w:rPr>
              <w:t xml:space="preserve"> belirtilen </w:t>
            </w:r>
            <w:r w:rsidR="0059063A" w:rsidRPr="00AA4F96">
              <w:rPr>
                <w:rFonts w:asciiTheme="majorHAnsi" w:eastAsia="Times New Roman" w:hAnsiTheme="majorHAnsi" w:cs="Tahoma"/>
                <w:sz w:val="16"/>
                <w:szCs w:val="16"/>
                <w:lang w:eastAsia="tr-TR"/>
              </w:rPr>
              <w:t>dokümanların en</w:t>
            </w:r>
            <w:r w:rsidRPr="00AA4F96">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4708CE" w:rsidRPr="005558F7" w:rsidTr="00AA4F96">
        <w:trPr>
          <w:trHeight w:val="464"/>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PR.01 Personel Belgelendirme Prosedürü, ISO 17024 standardı, Ulusal Yeterlilik </w:t>
            </w:r>
          </w:p>
        </w:tc>
      </w:tr>
      <w:tr w:rsidR="004708CE" w:rsidRPr="005558F7" w:rsidTr="00AA4F96">
        <w:trPr>
          <w:trHeight w:val="502"/>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TCS Belgelendirme Planlama Sorumlusu tarafından yapılır.</w:t>
            </w:r>
          </w:p>
        </w:tc>
      </w:tr>
      <w:tr w:rsidR="004708CE" w:rsidRPr="005558F7" w:rsidTr="00AA4F96">
        <w:trPr>
          <w:trHeight w:val="398"/>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Sınav tarihinden 1 hafta önce,  </w:t>
            </w:r>
            <w:hyperlink r:id="rId7" w:history="1">
              <w:r w:rsidRPr="00AA4F96">
                <w:rPr>
                  <w:rFonts w:asciiTheme="majorHAnsi" w:eastAsia="Times New Roman" w:hAnsiTheme="majorHAnsi" w:cs="Tahoma"/>
                  <w:sz w:val="16"/>
                  <w:szCs w:val="16"/>
                  <w:lang w:eastAsia="tr-TR"/>
                </w:rPr>
                <w:t>www.tcscert.com</w:t>
              </w:r>
            </w:hyperlink>
            <w:r w:rsidRPr="00AA4F96">
              <w:rPr>
                <w:rFonts w:asciiTheme="majorHAnsi" w:eastAsia="Times New Roman" w:hAnsiTheme="majorHAnsi" w:cs="Tahoma"/>
                <w:sz w:val="16"/>
                <w:szCs w:val="16"/>
                <w:lang w:eastAsia="tr-TR"/>
              </w:rPr>
              <w:t xml:space="preserve"> web </w:t>
            </w:r>
            <w:r w:rsidR="0059063A" w:rsidRPr="00AA4F96">
              <w:rPr>
                <w:rFonts w:asciiTheme="majorHAnsi" w:eastAsia="Times New Roman" w:hAnsiTheme="majorHAnsi" w:cs="Tahoma"/>
                <w:sz w:val="16"/>
                <w:szCs w:val="16"/>
                <w:lang w:eastAsia="tr-TR"/>
              </w:rPr>
              <w:t>sitesinde SINAV</w:t>
            </w:r>
            <w:r w:rsidRPr="00AA4F96">
              <w:rPr>
                <w:rFonts w:asciiTheme="majorHAnsi" w:eastAsia="Times New Roman" w:hAnsiTheme="majorHAnsi" w:cs="Tahoma"/>
                <w:sz w:val="16"/>
                <w:szCs w:val="16"/>
                <w:lang w:eastAsia="tr-TR"/>
              </w:rPr>
              <w:t xml:space="preserve"> TAKVİMİ alanında ilan edilir.</w:t>
            </w:r>
          </w:p>
        </w:tc>
      </w:tr>
      <w:tr w:rsidR="004708CE" w:rsidRPr="005558F7" w:rsidTr="00AA4F96">
        <w:trPr>
          <w:trHeight w:val="360"/>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4708CE" w:rsidRPr="00E03868" w:rsidRDefault="004708C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Sınav dili, Türkçe veya İngilizce olacaktır.</w:t>
            </w:r>
          </w:p>
        </w:tc>
      </w:tr>
      <w:tr w:rsidR="004708CE" w:rsidRPr="005558F7" w:rsidTr="00AA4F96">
        <w:trPr>
          <w:trHeight w:val="577"/>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Sınavlarda uyulması gereken </w:t>
            </w:r>
            <w:r w:rsidR="0059063A" w:rsidRPr="00AA4F96">
              <w:rPr>
                <w:rFonts w:asciiTheme="majorHAnsi" w:eastAsia="Times New Roman" w:hAnsiTheme="majorHAnsi" w:cs="Tahoma"/>
                <w:sz w:val="16"/>
                <w:szCs w:val="16"/>
                <w:lang w:eastAsia="tr-TR"/>
              </w:rPr>
              <w:t>kurallar Sınav</w:t>
            </w:r>
            <w:r w:rsidRPr="00AA4F96">
              <w:rPr>
                <w:rFonts w:asciiTheme="majorHAnsi" w:eastAsia="Times New Roman" w:hAnsiTheme="majorHAnsi" w:cs="Tahoma"/>
                <w:sz w:val="16"/>
                <w:szCs w:val="16"/>
                <w:lang w:eastAsia="tr-TR"/>
              </w:rPr>
              <w:t xml:space="preserve"> Kuralları dokümanlarında tanımlanmıştır.  Sınav Kurallarına, </w:t>
            </w:r>
            <w:hyperlink r:id="rId8" w:history="1">
              <w:r w:rsidRPr="00AA4F96">
                <w:rPr>
                  <w:rFonts w:asciiTheme="majorHAnsi" w:eastAsia="Times New Roman" w:hAnsiTheme="majorHAnsi" w:cs="Tahoma"/>
                  <w:sz w:val="16"/>
                  <w:szCs w:val="16"/>
                  <w:lang w:eastAsia="tr-TR"/>
                </w:rPr>
                <w:t>www.tcscert.com</w:t>
              </w:r>
            </w:hyperlink>
            <w:r w:rsidRPr="00AA4F96">
              <w:rPr>
                <w:rFonts w:asciiTheme="majorHAnsi" w:eastAsia="Times New Roman" w:hAnsiTheme="majorHAnsi" w:cs="Tahoma"/>
                <w:sz w:val="16"/>
                <w:szCs w:val="16"/>
                <w:lang w:eastAsia="tr-TR"/>
              </w:rPr>
              <w:t xml:space="preserve"> web sitesinden erişilebilir.  </w:t>
            </w:r>
          </w:p>
        </w:tc>
      </w:tr>
      <w:tr w:rsidR="004708CE" w:rsidRPr="005558F7" w:rsidTr="00AA4F96">
        <w:trPr>
          <w:trHeight w:val="274"/>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4708CE" w:rsidRPr="00AA4F96" w:rsidRDefault="0059063A" w:rsidP="00130151">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TEORİK+PERFORMANS</w:t>
            </w:r>
          </w:p>
        </w:tc>
      </w:tr>
      <w:tr w:rsidR="004708CE" w:rsidRPr="005558F7" w:rsidTr="00764EE4">
        <w:trPr>
          <w:trHeight w:val="338"/>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4708CE" w:rsidRPr="00AA4F96" w:rsidRDefault="004708CE" w:rsidP="00130151">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11UY0014-3/A1 Kaynak İşlerinde İş Sağlığı ve Güvenliği</w:t>
            </w:r>
          </w:p>
        </w:tc>
      </w:tr>
      <w:tr w:rsidR="004708CE" w:rsidRPr="005558F7" w:rsidTr="00764EE4">
        <w:trPr>
          <w:trHeight w:val="490"/>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4708CE" w:rsidRPr="00AA4F96" w:rsidRDefault="004708CE" w:rsidP="007B50E5">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11UY0014-3/B1 Metal - Ark Asal Gaz Kaynağı (MIG Kaynağı)-Alüminyum (131)</w:t>
            </w:r>
          </w:p>
          <w:p w:rsidR="004708CE" w:rsidRPr="00AA4F96" w:rsidRDefault="004708CE" w:rsidP="007B50E5">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11UY0014-3/B2 Tungsten Asal Gaz Ark Kaynağı (TIG Kaynağı) -Alüminyum (141)</w:t>
            </w:r>
          </w:p>
        </w:tc>
      </w:tr>
      <w:tr w:rsidR="004708CE" w:rsidRPr="005558F7" w:rsidTr="00AA4F96">
        <w:trPr>
          <w:trHeight w:val="699"/>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4708CE" w:rsidRDefault="004708CE">
            <w:pPr>
              <w:pStyle w:val="Balk4"/>
              <w:spacing w:before="0" w:after="40"/>
              <w:outlineLvl w:val="3"/>
              <w:rPr>
                <w:rFonts w:eastAsia="Times New Roman"/>
                <w:i w:val="0"/>
                <w:sz w:val="16"/>
                <w:szCs w:val="16"/>
                <w:lang w:eastAsia="tr-TR"/>
              </w:rPr>
            </w:pPr>
            <w:r w:rsidRPr="00B22FA1">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Aşağıdaki linke tıklayınız. </w:t>
            </w:r>
          </w:p>
          <w:p w:rsidR="004708CE" w:rsidRPr="00AA4F96" w:rsidRDefault="00F6678F" w:rsidP="0059063A">
            <w:pPr>
              <w:spacing w:after="40"/>
              <w:rPr>
                <w:rFonts w:asciiTheme="majorHAnsi" w:eastAsia="Times New Roman" w:hAnsiTheme="majorHAnsi" w:cs="Tahoma"/>
                <w:sz w:val="16"/>
                <w:szCs w:val="16"/>
                <w:lang w:eastAsia="tr-TR"/>
              </w:rPr>
            </w:pPr>
            <w:hyperlink r:id="rId9" w:history="1">
              <w:r w:rsidR="004708CE" w:rsidRPr="00AA4F96">
                <w:rPr>
                  <w:rStyle w:val="Kpr"/>
                  <w:rFonts w:asciiTheme="majorHAnsi" w:eastAsia="Times New Roman" w:hAnsiTheme="majorHAnsi" w:cs="Tahoma"/>
                  <w:color w:val="auto"/>
                  <w:sz w:val="16"/>
                  <w:szCs w:val="16"/>
                  <w:lang w:eastAsia="tr-TR"/>
                </w:rPr>
                <w:t xml:space="preserve">11UY0014-3 ALÜMİNYUM </w:t>
              </w:r>
              <w:r w:rsidR="0059063A" w:rsidRPr="00AA4F96">
                <w:rPr>
                  <w:rStyle w:val="Kpr"/>
                  <w:rFonts w:asciiTheme="majorHAnsi" w:eastAsia="Times New Roman" w:hAnsiTheme="majorHAnsi" w:cs="Tahoma"/>
                  <w:color w:val="auto"/>
                  <w:sz w:val="16"/>
                  <w:szCs w:val="16"/>
                  <w:lang w:eastAsia="tr-TR"/>
                </w:rPr>
                <w:t>KAYNAKÇISI REV.02</w:t>
              </w:r>
            </w:hyperlink>
          </w:p>
        </w:tc>
      </w:tr>
      <w:tr w:rsidR="004708CE" w:rsidRPr="005558F7" w:rsidTr="00764EE4">
        <w:trPr>
          <w:trHeight w:val="539"/>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4708CE" w:rsidRPr="00AA4F96" w:rsidRDefault="004708CE">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AA4F96">
                <w:rPr>
                  <w:rStyle w:val="Kpr"/>
                  <w:rFonts w:asciiTheme="majorHAnsi" w:eastAsia="Times New Roman" w:hAnsiTheme="majorHAnsi" w:cs="Tahoma"/>
                  <w:color w:val="auto"/>
                  <w:sz w:val="16"/>
                  <w:szCs w:val="16"/>
                  <w:lang w:eastAsia="tr-TR"/>
                </w:rPr>
                <w:t>www.tcscert.com</w:t>
              </w:r>
            </w:hyperlink>
            <w:r w:rsidRPr="00AA4F96">
              <w:rPr>
                <w:rFonts w:asciiTheme="majorHAnsi" w:eastAsia="Times New Roman" w:hAnsiTheme="majorHAnsi" w:cs="Tahoma"/>
                <w:sz w:val="16"/>
                <w:szCs w:val="16"/>
                <w:lang w:eastAsia="tr-TR"/>
              </w:rPr>
              <w:t xml:space="preserve"> adresinde ilan edilir.</w:t>
            </w:r>
            <w:r w:rsidRPr="00AA4F96">
              <w:rPr>
                <w:rFonts w:ascii="Arial" w:hAnsi="Arial" w:cs="Arial"/>
                <w:sz w:val="27"/>
                <w:szCs w:val="27"/>
                <w:shd w:val="clear" w:color="auto" w:fill="FFFFFF"/>
              </w:rPr>
              <w:t xml:space="preserve"> </w:t>
            </w:r>
          </w:p>
        </w:tc>
      </w:tr>
      <w:tr w:rsidR="004708CE" w:rsidRPr="005558F7" w:rsidTr="00764EE4">
        <w:trPr>
          <w:trHeight w:val="405"/>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4708CE" w:rsidRPr="00AA4F96" w:rsidRDefault="00F6678F">
            <w:pPr>
              <w:spacing w:after="40"/>
              <w:rPr>
                <w:rFonts w:asciiTheme="majorHAnsi" w:eastAsia="Times New Roman" w:hAnsiTheme="majorHAnsi" w:cs="Tahoma"/>
                <w:sz w:val="16"/>
                <w:szCs w:val="16"/>
                <w:lang w:eastAsia="tr-TR"/>
              </w:rPr>
            </w:pPr>
            <w:hyperlink r:id="rId11" w:history="1">
              <w:r w:rsidR="00BE1605" w:rsidRPr="00AA4F96">
                <w:rPr>
                  <w:rStyle w:val="Kpr"/>
                  <w:rFonts w:asciiTheme="majorHAnsi" w:eastAsia="Times New Roman" w:hAnsiTheme="majorHAnsi" w:cs="Tahoma"/>
                  <w:color w:val="auto"/>
                  <w:sz w:val="16"/>
                  <w:szCs w:val="16"/>
                  <w:lang w:eastAsia="tr-TR"/>
                </w:rPr>
                <w:t>www.tcscert.com</w:t>
              </w:r>
            </w:hyperlink>
            <w:r w:rsidR="00BE1605" w:rsidRPr="00AA4F96">
              <w:rPr>
                <w:rFonts w:asciiTheme="majorHAnsi" w:eastAsia="Times New Roman" w:hAnsiTheme="majorHAnsi" w:cs="Tahoma"/>
                <w:sz w:val="16"/>
                <w:szCs w:val="16"/>
                <w:lang w:eastAsia="tr-TR"/>
              </w:rPr>
              <w:t xml:space="preserve"> adresinden Sertifika Arama alanından yapılır.</w:t>
            </w:r>
          </w:p>
        </w:tc>
      </w:tr>
      <w:tr w:rsidR="004708CE" w:rsidRPr="005558F7" w:rsidTr="00AA4F96">
        <w:trPr>
          <w:trHeight w:val="705"/>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4708CE" w:rsidRPr="00AA4F96" w:rsidRDefault="007E7C38">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AA4F96">
              <w:rPr>
                <w:rFonts w:asciiTheme="majorHAnsi" w:eastAsia="Times New Roman" w:hAnsiTheme="majorHAnsi" w:cs="Tahoma"/>
                <w:b/>
                <w:sz w:val="16"/>
                <w:szCs w:val="16"/>
                <w:lang w:eastAsia="tr-TR"/>
              </w:rPr>
              <w:t>FRM.139 Belge Teslim Formu</w:t>
            </w:r>
            <w:r w:rsidRPr="00AA4F96">
              <w:rPr>
                <w:rFonts w:asciiTheme="majorHAnsi" w:eastAsia="Times New Roman" w:hAnsiTheme="majorHAnsi" w:cs="Tahoma"/>
                <w:sz w:val="16"/>
                <w:szCs w:val="16"/>
                <w:lang w:eastAsia="tr-TR"/>
              </w:rPr>
              <w:t xml:space="preserve"> ile teslim edilir.</w:t>
            </w:r>
          </w:p>
        </w:tc>
      </w:tr>
      <w:tr w:rsidR="004708CE" w:rsidRPr="005558F7" w:rsidTr="00AA4F96">
        <w:trPr>
          <w:trHeight w:val="404"/>
        </w:trPr>
        <w:tc>
          <w:tcPr>
            <w:tcW w:w="568" w:type="dxa"/>
            <w:vAlign w:val="center"/>
          </w:tcPr>
          <w:p w:rsidR="004708CE" w:rsidRPr="00E03868" w:rsidRDefault="004708CE"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4708CE" w:rsidRPr="00E03868" w:rsidRDefault="004708C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4708CE" w:rsidRPr="00764EE4" w:rsidRDefault="008B3ADF" w:rsidP="008B3ADF">
            <w:pPr>
              <w:spacing w:after="40"/>
              <w:rPr>
                <w:rFonts w:ascii="Times New Roman" w:hAnsi="Times New Roman" w:cs="Times New Roman"/>
                <w:sz w:val="23"/>
                <w:szCs w:val="23"/>
              </w:rPr>
            </w:pPr>
            <w:r w:rsidRPr="00764EE4">
              <w:rPr>
                <w:rFonts w:asciiTheme="majorHAnsi" w:eastAsia="Times New Roman" w:hAnsiTheme="majorHAnsi" w:cs="Tahoma"/>
                <w:sz w:val="16"/>
                <w:szCs w:val="16"/>
                <w:lang w:eastAsia="tr-TR"/>
              </w:rPr>
              <w:t>Yeterlilik belgesinin geçerlilik süresi 2 yıldır.</w:t>
            </w:r>
            <w:r w:rsidRPr="00764EE4">
              <w:rPr>
                <w:sz w:val="23"/>
                <w:szCs w:val="23"/>
              </w:rPr>
              <w:t xml:space="preserve"> </w:t>
            </w:r>
          </w:p>
        </w:tc>
      </w:tr>
      <w:tr w:rsidR="007E7C38" w:rsidRPr="005558F7" w:rsidTr="00764EE4">
        <w:trPr>
          <w:trHeight w:val="1666"/>
        </w:trPr>
        <w:tc>
          <w:tcPr>
            <w:tcW w:w="568" w:type="dxa"/>
            <w:vAlign w:val="center"/>
          </w:tcPr>
          <w:p w:rsidR="007E7C38" w:rsidRPr="00E03868" w:rsidRDefault="007E7C38"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7E7C38" w:rsidRPr="00E03868" w:rsidRDefault="007E7C3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8B3ADF" w:rsidRPr="00764EE4" w:rsidRDefault="008B3ADF" w:rsidP="008B3AD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 xml:space="preserve">Bir kaynakçının yeterliliği, ilgili sertifikanın işveren/koordinatör tarafından altı aylık aralıklarla imzalanması ve aşağıdaki koşulların tam olarak yerine getirilmesi halinde, iki yıllık bir süre için geçerlidir. </w:t>
            </w:r>
          </w:p>
          <w:p w:rsidR="008B3ADF" w:rsidRPr="00764EE4" w:rsidRDefault="008B3ADF" w:rsidP="008B3AD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a) Kaynakçı, yeterli görüldüğü alandaki kaynak işlerinde sürekli olarak çalıştığını ispatlamalıdır. Altı aydan daha uzun olmayan bir süre ara vermeye izin verilir. (iş deneyimini gösteren SGK dökümü ve işveren tarafından onaylanmış FRM.144 Çalışma Beyan Formu)</w:t>
            </w:r>
          </w:p>
          <w:p w:rsidR="008B3ADF" w:rsidRPr="00764EE4" w:rsidRDefault="008B3ADF" w:rsidP="008B3AD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 xml:space="preserve">b) Kaynakçının çalışması, yeterlilik sınavının gerçekleştirildiği teknik koşullarla genel olarak uyumlu olmalıdır, </w:t>
            </w:r>
          </w:p>
          <w:p w:rsidR="008B3ADF" w:rsidRPr="00764EE4" w:rsidRDefault="008B3ADF" w:rsidP="008B3AD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 xml:space="preserve">c) Kaynakçının bilgi ve becerisinin soruşturulmasına yol açacak özel bir neden olmamalıdır. Eğer bu koşulların herhangi birine uyulmazsa, yeterlilik iptal edilmelidir. </w:t>
            </w:r>
          </w:p>
        </w:tc>
      </w:tr>
      <w:tr w:rsidR="00764EE4" w:rsidRPr="005558F7" w:rsidTr="00764EE4">
        <w:trPr>
          <w:trHeight w:val="922"/>
        </w:trPr>
        <w:tc>
          <w:tcPr>
            <w:tcW w:w="568" w:type="dxa"/>
            <w:vAlign w:val="center"/>
          </w:tcPr>
          <w:p w:rsidR="00764EE4"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764EE4"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w:t>
            </w:r>
            <w:r w:rsidR="00F6678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Pr>
                <w:rFonts w:asciiTheme="majorHAnsi" w:eastAsia="Times New Roman" w:hAnsiTheme="majorHAnsi" w:cs="Tahoma"/>
                <w:b/>
                <w:color w:val="FF0000"/>
                <w:sz w:val="16"/>
                <w:szCs w:val="16"/>
                <w:lang w:eastAsia="tr-TR"/>
              </w:rPr>
              <w:t xml:space="preserve"> :</w:t>
            </w:r>
            <w:r>
              <w:rPr>
                <w:rFonts w:asciiTheme="majorHAnsi" w:eastAsia="Times New Roman" w:hAnsiTheme="majorHAnsi" w:cs="Tahoma"/>
                <w:color w:val="FF0000"/>
                <w:sz w:val="16"/>
                <w:szCs w:val="16"/>
                <w:lang w:eastAsia="tr-TR"/>
              </w:rPr>
              <w:t xml:space="preserve"> </w:t>
            </w:r>
            <w:r w:rsidR="00F6678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w:t>
            </w:r>
            <w:r>
              <w:rPr>
                <w:rFonts w:asciiTheme="majorHAnsi" w:eastAsia="Times New Roman" w:hAnsiTheme="majorHAnsi" w:cs="Tahoma"/>
                <w:b/>
                <w:color w:val="FF0000"/>
                <w:sz w:val="16"/>
                <w:szCs w:val="16"/>
                <w:lang w:eastAsia="tr-TR"/>
              </w:rPr>
              <w:t xml:space="preserve"> :</w:t>
            </w:r>
            <w:r>
              <w:rPr>
                <w:rFonts w:asciiTheme="majorHAnsi" w:eastAsia="Times New Roman" w:hAnsiTheme="majorHAnsi" w:cs="Tahoma"/>
                <w:color w:val="FF0000"/>
                <w:sz w:val="16"/>
                <w:szCs w:val="16"/>
                <w:lang w:eastAsia="tr-TR"/>
              </w:rPr>
              <w:t xml:space="preserve"> </w:t>
            </w:r>
            <w:r w:rsidR="00F6678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764EE4" w:rsidRPr="00B014F6"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tc>
      </w:tr>
      <w:tr w:rsidR="00764EE4" w:rsidRPr="005558F7" w:rsidTr="00764EE4">
        <w:trPr>
          <w:trHeight w:val="638"/>
        </w:trPr>
        <w:tc>
          <w:tcPr>
            <w:tcW w:w="568" w:type="dxa"/>
            <w:vAlign w:val="center"/>
          </w:tcPr>
          <w:p w:rsidR="00764EE4"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764EE4"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w:t>
            </w:r>
            <w:r w:rsidR="00F6678F">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0</w:t>
            </w:r>
          </w:p>
          <w:p w:rsidR="00764EE4" w:rsidRDefault="00764EE4" w:rsidP="00764EE4">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Pr>
                <w:rFonts w:asciiTheme="majorHAnsi" w:eastAsia="Times New Roman" w:hAnsiTheme="majorHAnsi" w:cs="Tahoma"/>
                <w:b/>
                <w:color w:val="FF0000"/>
                <w:sz w:val="16"/>
                <w:szCs w:val="16"/>
                <w:lang w:eastAsia="tr-TR"/>
              </w:rPr>
              <w:t xml:space="preserve"> :</w:t>
            </w:r>
            <w:r>
              <w:rPr>
                <w:rFonts w:asciiTheme="majorHAnsi" w:eastAsia="Times New Roman" w:hAnsiTheme="majorHAnsi" w:cs="Tahoma"/>
                <w:color w:val="FF0000"/>
                <w:sz w:val="16"/>
                <w:szCs w:val="16"/>
                <w:lang w:eastAsia="tr-TR"/>
              </w:rPr>
              <w:t xml:space="preserve"> Teorik </w:t>
            </w:r>
            <w:r w:rsidR="00F6678F">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 xml:space="preserve">0, Performans </w:t>
            </w:r>
            <w:r w:rsidR="00F6678F">
              <w:rPr>
                <w:rFonts w:asciiTheme="majorHAnsi" w:eastAsia="Times New Roman" w:hAnsiTheme="majorHAnsi" w:cs="Tahoma"/>
                <w:color w:val="FF0000"/>
                <w:sz w:val="16"/>
                <w:szCs w:val="16"/>
                <w:lang w:eastAsia="tr-TR"/>
              </w:rPr>
              <w:t>3</w:t>
            </w:r>
            <w:r>
              <w:rPr>
                <w:rFonts w:asciiTheme="majorHAnsi" w:eastAsia="Times New Roman" w:hAnsiTheme="majorHAnsi" w:cs="Tahoma"/>
                <w:color w:val="FF0000"/>
                <w:sz w:val="16"/>
                <w:szCs w:val="16"/>
                <w:lang w:eastAsia="tr-TR"/>
              </w:rPr>
              <w:t xml:space="preserve">0 dk. </w:t>
            </w:r>
          </w:p>
          <w:p w:rsidR="00764EE4" w:rsidRPr="00B014F6" w:rsidRDefault="00764EE4" w:rsidP="00F6678F">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w:t>
            </w:r>
            <w:r>
              <w:rPr>
                <w:rFonts w:asciiTheme="majorHAnsi" w:eastAsia="Times New Roman" w:hAnsiTheme="majorHAnsi" w:cs="Tahoma"/>
                <w:b/>
                <w:color w:val="FF0000"/>
                <w:sz w:val="16"/>
                <w:szCs w:val="16"/>
                <w:lang w:eastAsia="tr-TR"/>
              </w:rPr>
              <w:t xml:space="preserve"> :</w:t>
            </w:r>
            <w:r>
              <w:rPr>
                <w:rFonts w:asciiTheme="majorHAnsi" w:eastAsia="Times New Roman" w:hAnsiTheme="majorHAnsi" w:cs="Tahoma"/>
                <w:color w:val="FF0000"/>
                <w:sz w:val="16"/>
                <w:szCs w:val="16"/>
                <w:lang w:eastAsia="tr-TR"/>
              </w:rPr>
              <w:t xml:space="preserve"> Teorik </w:t>
            </w:r>
            <w:r w:rsidR="00F6678F">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 xml:space="preserve">0, Performans </w:t>
            </w:r>
            <w:r w:rsidR="00F6678F">
              <w:rPr>
                <w:rFonts w:asciiTheme="majorHAnsi" w:eastAsia="Times New Roman" w:hAnsiTheme="majorHAnsi" w:cs="Tahoma"/>
                <w:color w:val="FF0000"/>
                <w:sz w:val="16"/>
                <w:szCs w:val="16"/>
                <w:lang w:eastAsia="tr-TR"/>
              </w:rPr>
              <w:t>3</w:t>
            </w:r>
            <w:r>
              <w:rPr>
                <w:rFonts w:asciiTheme="majorHAnsi" w:eastAsia="Times New Roman" w:hAnsiTheme="majorHAnsi" w:cs="Tahoma"/>
                <w:color w:val="FF0000"/>
                <w:sz w:val="16"/>
                <w:szCs w:val="16"/>
                <w:lang w:eastAsia="tr-TR"/>
              </w:rPr>
              <w:t xml:space="preserve">0 dk. </w:t>
            </w:r>
          </w:p>
        </w:tc>
      </w:tr>
      <w:tr w:rsidR="00764EE4" w:rsidRPr="005558F7" w:rsidTr="00764EE4">
        <w:trPr>
          <w:trHeight w:val="496"/>
        </w:trPr>
        <w:tc>
          <w:tcPr>
            <w:tcW w:w="568" w:type="dxa"/>
            <w:vAlign w:val="center"/>
          </w:tcPr>
          <w:p w:rsidR="00764EE4"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F6678F" w:rsidRDefault="00764EE4" w:rsidP="00764EE4">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p w:rsidR="00F6678F" w:rsidRDefault="00F6678F" w:rsidP="00F6678F">
            <w:pPr>
              <w:rPr>
                <w:lang w:eastAsia="tr-TR"/>
              </w:rPr>
            </w:pPr>
          </w:p>
          <w:p w:rsidR="00764EE4" w:rsidRPr="00F6678F" w:rsidRDefault="00764EE4" w:rsidP="00F6678F">
            <w:pPr>
              <w:rPr>
                <w:lang w:eastAsia="tr-TR"/>
              </w:rPr>
            </w:pPr>
          </w:p>
        </w:tc>
        <w:tc>
          <w:tcPr>
            <w:tcW w:w="7511" w:type="dxa"/>
            <w:vAlign w:val="center"/>
          </w:tcPr>
          <w:p w:rsidR="00764EE4" w:rsidRDefault="00764EE4" w:rsidP="00764EE4">
            <w:pPr>
              <w:pStyle w:val="Default"/>
              <w:rPr>
                <w:rFonts w:asciiTheme="majorHAnsi" w:eastAsia="Times New Roman" w:hAnsiTheme="majorHAnsi" w:cs="Tahoma"/>
                <w:color w:val="FF0000"/>
                <w:sz w:val="16"/>
                <w:szCs w:val="16"/>
                <w:lang w:eastAsia="tr-TR"/>
              </w:rPr>
            </w:pPr>
          </w:p>
          <w:p w:rsidR="00764EE4" w:rsidRPr="000B0D01" w:rsidRDefault="00764EE4" w:rsidP="00764EE4">
            <w:pPr>
              <w:pStyle w:val="Default"/>
              <w:rPr>
                <w:rFonts w:asciiTheme="majorHAnsi" w:eastAsia="Times New Roman" w:hAnsiTheme="majorHAnsi" w:cs="Tahoma"/>
                <w:color w:val="FF0000"/>
                <w:sz w:val="16"/>
                <w:szCs w:val="16"/>
                <w:lang w:eastAsia="tr-TR"/>
              </w:rPr>
            </w:pPr>
            <w:r w:rsidRPr="000B0D01">
              <w:rPr>
                <w:rFonts w:asciiTheme="majorHAnsi" w:eastAsia="Times New Roman" w:hAnsiTheme="majorHAnsi" w:cs="Tahoma"/>
                <w:color w:val="FF0000"/>
                <w:sz w:val="16"/>
                <w:szCs w:val="16"/>
                <w:lang w:eastAsia="tr-TR"/>
              </w:rPr>
              <w:t xml:space="preserve">17UY0333-5/A1: İSG, Çevre ve Kalite </w:t>
            </w:r>
            <w:bookmarkStart w:id="0" w:name="_GoBack"/>
            <w:bookmarkEnd w:id="0"/>
          </w:p>
          <w:p w:rsidR="00F6678F" w:rsidRPr="00F6678F" w:rsidRDefault="00F6678F" w:rsidP="00F6678F">
            <w:pPr>
              <w:spacing w:after="40"/>
              <w:rPr>
                <w:rFonts w:asciiTheme="majorHAnsi" w:eastAsia="Times New Roman" w:hAnsiTheme="majorHAnsi" w:cs="Tahoma"/>
                <w:color w:val="FF0000"/>
                <w:sz w:val="16"/>
                <w:szCs w:val="16"/>
                <w:lang w:eastAsia="tr-TR"/>
              </w:rPr>
            </w:pPr>
            <w:r w:rsidRPr="00F6678F">
              <w:rPr>
                <w:rFonts w:asciiTheme="majorHAnsi" w:eastAsia="Times New Roman" w:hAnsiTheme="majorHAnsi" w:cs="Tahoma"/>
                <w:color w:val="FF0000"/>
                <w:sz w:val="16"/>
                <w:szCs w:val="16"/>
                <w:lang w:eastAsia="tr-TR"/>
              </w:rPr>
              <w:t xml:space="preserve">11UY0014-3/B1 Metal - Ark Asal Gaz Kaynağı (MIG Kaynağı)-Alüminyum </w:t>
            </w:r>
          </w:p>
          <w:p w:rsidR="00764EE4" w:rsidRPr="000B0D01" w:rsidRDefault="00F6678F" w:rsidP="00F6678F">
            <w:pPr>
              <w:spacing w:after="40"/>
              <w:rPr>
                <w:rFonts w:asciiTheme="majorHAnsi" w:eastAsia="Times New Roman" w:hAnsiTheme="majorHAnsi" w:cs="Tahoma"/>
                <w:color w:val="FF0000"/>
                <w:sz w:val="16"/>
                <w:szCs w:val="16"/>
                <w:lang w:eastAsia="tr-TR"/>
              </w:rPr>
            </w:pPr>
            <w:r w:rsidRPr="00F6678F">
              <w:rPr>
                <w:rFonts w:asciiTheme="majorHAnsi" w:eastAsia="Times New Roman" w:hAnsiTheme="majorHAnsi" w:cs="Tahoma"/>
                <w:color w:val="FF0000"/>
                <w:sz w:val="16"/>
                <w:szCs w:val="16"/>
                <w:lang w:eastAsia="tr-TR"/>
              </w:rPr>
              <w:t xml:space="preserve">11UY0014-3/B2 Tungsten Asal Gaz Ark Kaynağı (TIG Kaynağı) -Alüminyum </w:t>
            </w:r>
          </w:p>
        </w:tc>
      </w:tr>
      <w:tr w:rsidR="007E7C38" w:rsidRPr="005558F7" w:rsidTr="00764EE4">
        <w:trPr>
          <w:trHeight w:val="596"/>
        </w:trPr>
        <w:tc>
          <w:tcPr>
            <w:tcW w:w="568" w:type="dxa"/>
            <w:vAlign w:val="center"/>
          </w:tcPr>
          <w:p w:rsidR="007E7C38" w:rsidRPr="00E03868" w:rsidRDefault="007E7C38"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7E7C38" w:rsidRPr="00764EE4" w:rsidRDefault="007E7C38" w:rsidP="00764EE4">
            <w:pPr>
              <w:pStyle w:val="Balk4"/>
              <w:spacing w:before="0" w:after="40"/>
              <w:rPr>
                <w:rFonts w:eastAsia="Times New Roman"/>
                <w:i w:val="0"/>
                <w:sz w:val="16"/>
                <w:szCs w:val="16"/>
                <w:lang w:eastAsia="tr-TR"/>
              </w:rPr>
            </w:pPr>
            <w:r>
              <w:rPr>
                <w:rFonts w:eastAsia="Times New Roman"/>
                <w:i w:val="0"/>
                <w:sz w:val="16"/>
                <w:szCs w:val="16"/>
                <w:lang w:eastAsia="tr-TR"/>
              </w:rPr>
              <w:t>Belge Y</w:t>
            </w:r>
            <w:r w:rsidRPr="00800F14">
              <w:rPr>
                <w:rFonts w:eastAsia="Times New Roman"/>
                <w:i w:val="0"/>
                <w:sz w:val="16"/>
                <w:szCs w:val="16"/>
                <w:lang w:eastAsia="tr-TR"/>
              </w:rPr>
              <w:t>enilemede</w:t>
            </w:r>
            <w:r>
              <w:rPr>
                <w:rFonts w:eastAsia="Times New Roman"/>
                <w:i w:val="0"/>
                <w:sz w:val="16"/>
                <w:szCs w:val="16"/>
                <w:lang w:eastAsia="tr-TR"/>
              </w:rPr>
              <w:t xml:space="preserve"> </w:t>
            </w:r>
            <w:r w:rsidRPr="00800F14">
              <w:rPr>
                <w:rFonts w:eastAsia="Times New Roman"/>
                <w:i w:val="0"/>
                <w:sz w:val="16"/>
                <w:szCs w:val="16"/>
                <w:lang w:eastAsia="tr-TR"/>
              </w:rPr>
              <w:t xml:space="preserve">Uygulanacak </w:t>
            </w:r>
            <w:r>
              <w:rPr>
                <w:rFonts w:eastAsia="Times New Roman"/>
                <w:i w:val="0"/>
                <w:sz w:val="16"/>
                <w:szCs w:val="16"/>
                <w:lang w:eastAsia="tr-TR"/>
              </w:rPr>
              <w:t>Ö</w:t>
            </w:r>
            <w:r w:rsidRPr="00800F14">
              <w:rPr>
                <w:rFonts w:eastAsia="Times New Roman"/>
                <w:i w:val="0"/>
                <w:sz w:val="16"/>
                <w:szCs w:val="16"/>
                <w:lang w:eastAsia="tr-TR"/>
              </w:rPr>
              <w:t>lçme</w:t>
            </w:r>
            <w:r>
              <w:rPr>
                <w:rFonts w:eastAsia="Times New Roman"/>
                <w:i w:val="0"/>
                <w:sz w:val="16"/>
                <w:szCs w:val="16"/>
                <w:lang w:eastAsia="tr-TR"/>
              </w:rPr>
              <w:t xml:space="preserve"> D</w:t>
            </w:r>
            <w:r w:rsidRPr="00800F14">
              <w:rPr>
                <w:rFonts w:eastAsia="Times New Roman"/>
                <w:i w:val="0"/>
                <w:sz w:val="16"/>
                <w:szCs w:val="16"/>
                <w:lang w:eastAsia="tr-TR"/>
              </w:rPr>
              <w:t>eğerlendirme</w:t>
            </w:r>
            <w:r>
              <w:rPr>
                <w:rFonts w:eastAsia="Times New Roman"/>
                <w:i w:val="0"/>
                <w:sz w:val="16"/>
                <w:szCs w:val="16"/>
                <w:lang w:eastAsia="tr-TR"/>
              </w:rPr>
              <w:t xml:space="preserve"> </w:t>
            </w:r>
            <w:r w:rsidRPr="00800F14">
              <w:rPr>
                <w:rFonts w:eastAsia="Times New Roman"/>
                <w:i w:val="0"/>
                <w:sz w:val="16"/>
                <w:szCs w:val="16"/>
                <w:lang w:eastAsia="tr-TR"/>
              </w:rPr>
              <w:t>Yöntemi</w:t>
            </w:r>
          </w:p>
        </w:tc>
        <w:tc>
          <w:tcPr>
            <w:tcW w:w="7511" w:type="dxa"/>
            <w:vAlign w:val="center"/>
          </w:tcPr>
          <w:p w:rsidR="008B3ADF" w:rsidRPr="00764EE4" w:rsidRDefault="008B3ADF" w:rsidP="00384E84">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 xml:space="preserve">Yeterlilik belgesi, belgelendirme kurulusu tarafından TS EN ISO 9606-2 madde 9.3'deki koşulların tümüyle yerine getirilmesi durumunda iki yıllık bir ilave süre için uzatılabilir. </w:t>
            </w:r>
          </w:p>
        </w:tc>
      </w:tr>
      <w:tr w:rsidR="00464BCF" w:rsidRPr="005558F7" w:rsidTr="00AA4F96">
        <w:trPr>
          <w:trHeight w:val="1434"/>
        </w:trPr>
        <w:tc>
          <w:tcPr>
            <w:tcW w:w="568" w:type="dxa"/>
            <w:vAlign w:val="center"/>
          </w:tcPr>
          <w:p w:rsidR="00464BCF" w:rsidRPr="00E03868" w:rsidRDefault="00F76802" w:rsidP="00464BCF">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464BCF" w:rsidRPr="00E03868" w:rsidRDefault="00464BCF" w:rsidP="00464BCF">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464BCF" w:rsidRPr="005558F7" w:rsidTr="00AA4F96">
        <w:trPr>
          <w:trHeight w:val="986"/>
        </w:trPr>
        <w:tc>
          <w:tcPr>
            <w:tcW w:w="568" w:type="dxa"/>
            <w:vAlign w:val="center"/>
          </w:tcPr>
          <w:p w:rsidR="00464BCF" w:rsidRPr="00E03868" w:rsidRDefault="00464BCF" w:rsidP="00F7680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76802">
              <w:rPr>
                <w:rFonts w:eastAsia="Times New Roman"/>
                <w:i w:val="0"/>
                <w:sz w:val="16"/>
                <w:szCs w:val="16"/>
                <w:lang w:eastAsia="tr-TR"/>
              </w:rPr>
              <w:t>6</w:t>
            </w:r>
          </w:p>
        </w:tc>
        <w:tc>
          <w:tcPr>
            <w:tcW w:w="2694" w:type="dxa"/>
            <w:vAlign w:val="center"/>
          </w:tcPr>
          <w:p w:rsidR="00464BCF" w:rsidRPr="00E03868" w:rsidRDefault="00464BCF" w:rsidP="00464BCF">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b/>
                <w:sz w:val="16"/>
                <w:szCs w:val="16"/>
                <w:lang w:eastAsia="tr-TR"/>
              </w:rPr>
              <w:t>TLM.01 Logo ve Belge Kullanımı Talimatına</w:t>
            </w:r>
            <w:r w:rsidRPr="00AA4F96">
              <w:rPr>
                <w:rFonts w:asciiTheme="majorHAnsi" w:eastAsia="Times New Roman" w:hAnsiTheme="majorHAnsi" w:cs="Tahoma"/>
                <w:sz w:val="16"/>
                <w:szCs w:val="16"/>
                <w:lang w:eastAsia="tr-TR"/>
              </w:rPr>
              <w:t>,</w:t>
            </w:r>
            <w:r w:rsidRPr="00AA4F96">
              <w:rPr>
                <w:rFonts w:ascii="Tahoma" w:hAnsi="Tahoma" w:cs="Tahoma"/>
                <w:b/>
                <w:sz w:val="20"/>
                <w:shd w:val="clear" w:color="auto" w:fill="FFFFFF"/>
              </w:rPr>
              <w:t xml:space="preserve"> </w:t>
            </w:r>
            <w:hyperlink r:id="rId12" w:history="1">
              <w:r w:rsidRPr="00AA4F96">
                <w:rPr>
                  <w:rStyle w:val="Kpr"/>
                  <w:rFonts w:asciiTheme="majorHAnsi" w:eastAsia="Times New Roman" w:hAnsiTheme="majorHAnsi" w:cs="Tahoma"/>
                  <w:color w:val="auto"/>
                  <w:sz w:val="16"/>
                  <w:szCs w:val="16"/>
                  <w:lang w:eastAsia="tr-TR"/>
                </w:rPr>
                <w:t>www.tcscert.com</w:t>
              </w:r>
            </w:hyperlink>
            <w:r w:rsidRPr="00AA4F96">
              <w:rPr>
                <w:rFonts w:asciiTheme="majorHAnsi" w:eastAsia="Times New Roman" w:hAnsiTheme="majorHAnsi" w:cs="Tahoma"/>
                <w:sz w:val="16"/>
                <w:szCs w:val="16"/>
                <w:lang w:eastAsia="tr-TR"/>
              </w:rPr>
              <w:t xml:space="preserve"> adresinden erişilebilir.</w:t>
            </w:r>
          </w:p>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464BCF" w:rsidRPr="005558F7" w:rsidTr="00AA4F96">
        <w:trPr>
          <w:trHeight w:val="1398"/>
        </w:trPr>
        <w:tc>
          <w:tcPr>
            <w:tcW w:w="568" w:type="dxa"/>
            <w:vAlign w:val="center"/>
          </w:tcPr>
          <w:p w:rsidR="00464BCF" w:rsidRDefault="00464BCF" w:rsidP="00F7680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76802">
              <w:rPr>
                <w:rFonts w:eastAsia="Times New Roman"/>
                <w:i w:val="0"/>
                <w:sz w:val="16"/>
                <w:szCs w:val="16"/>
                <w:lang w:eastAsia="tr-TR"/>
              </w:rPr>
              <w:t>7</w:t>
            </w:r>
          </w:p>
        </w:tc>
        <w:tc>
          <w:tcPr>
            <w:tcW w:w="2694" w:type="dxa"/>
            <w:vAlign w:val="center"/>
          </w:tcPr>
          <w:p w:rsidR="00464BCF" w:rsidRDefault="00464BCF" w:rsidP="00464BCF">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Belge sahibinin, </w:t>
            </w:r>
            <w:r w:rsidRPr="00AA4F96">
              <w:rPr>
                <w:rFonts w:asciiTheme="majorHAnsi" w:eastAsia="Times New Roman" w:hAnsiTheme="majorHAnsi" w:cs="Tahoma"/>
                <w:b/>
                <w:sz w:val="16"/>
                <w:szCs w:val="16"/>
                <w:lang w:eastAsia="tr-TR"/>
              </w:rPr>
              <w:t xml:space="preserve">FRM.05 Belge Kullanım Sözleşmesinde </w:t>
            </w:r>
            <w:r w:rsidRPr="00AA4F96">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Belgenin geçerliliği </w:t>
            </w:r>
            <w:hyperlink r:id="rId13" w:history="1">
              <w:r w:rsidRPr="00AA4F96">
                <w:rPr>
                  <w:rFonts w:asciiTheme="majorHAnsi" w:eastAsia="Times New Roman" w:hAnsiTheme="majorHAnsi"/>
                  <w:sz w:val="16"/>
                  <w:szCs w:val="16"/>
                  <w:lang w:eastAsia="tr-TR"/>
                </w:rPr>
                <w:t>www.tcscert.com</w:t>
              </w:r>
            </w:hyperlink>
            <w:r w:rsidRPr="00AA4F96">
              <w:rPr>
                <w:rFonts w:asciiTheme="majorHAnsi" w:eastAsia="Times New Roman" w:hAnsiTheme="majorHAnsi" w:cs="Tahoma"/>
                <w:sz w:val="16"/>
                <w:szCs w:val="16"/>
                <w:lang w:eastAsia="tr-TR"/>
              </w:rPr>
              <w:t xml:space="preserve"> web sitesinden sorgulanabilir.</w:t>
            </w:r>
          </w:p>
        </w:tc>
      </w:tr>
      <w:tr w:rsidR="00464BCF" w:rsidRPr="005558F7" w:rsidTr="00AA4F96">
        <w:trPr>
          <w:trHeight w:val="536"/>
        </w:trPr>
        <w:tc>
          <w:tcPr>
            <w:tcW w:w="568" w:type="dxa"/>
            <w:vAlign w:val="center"/>
          </w:tcPr>
          <w:p w:rsidR="00464BCF" w:rsidRPr="00E03868" w:rsidRDefault="00464BCF" w:rsidP="00F7680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76802">
              <w:rPr>
                <w:rFonts w:eastAsia="Times New Roman"/>
                <w:i w:val="0"/>
                <w:sz w:val="16"/>
                <w:szCs w:val="16"/>
                <w:lang w:eastAsia="tr-TR"/>
              </w:rPr>
              <w:t>8</w:t>
            </w:r>
          </w:p>
        </w:tc>
        <w:tc>
          <w:tcPr>
            <w:tcW w:w="2694" w:type="dxa"/>
            <w:vAlign w:val="center"/>
          </w:tcPr>
          <w:p w:rsidR="00464BCF" w:rsidRPr="00E03868" w:rsidRDefault="00464BCF" w:rsidP="00464BCF">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Şikayet ve İtiraz Prosedürüne, </w:t>
            </w:r>
            <w:hyperlink r:id="rId14" w:history="1">
              <w:r w:rsidRPr="00AA4F96">
                <w:rPr>
                  <w:rStyle w:val="Kpr"/>
                  <w:rFonts w:asciiTheme="majorHAnsi" w:eastAsia="Times New Roman" w:hAnsiTheme="majorHAnsi" w:cs="Tahoma"/>
                  <w:color w:val="auto"/>
                  <w:sz w:val="16"/>
                  <w:szCs w:val="16"/>
                  <w:lang w:eastAsia="tr-TR"/>
                </w:rPr>
                <w:t>www.tcscert.com</w:t>
              </w:r>
            </w:hyperlink>
            <w:r w:rsidRPr="00AA4F96">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464BCF" w:rsidRPr="005558F7" w:rsidTr="00AA4F96">
        <w:trPr>
          <w:trHeight w:val="328"/>
        </w:trPr>
        <w:tc>
          <w:tcPr>
            <w:tcW w:w="568" w:type="dxa"/>
            <w:vAlign w:val="center"/>
          </w:tcPr>
          <w:p w:rsidR="00464BCF" w:rsidRPr="00E03868" w:rsidRDefault="00464BCF" w:rsidP="00F7680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76802">
              <w:rPr>
                <w:rFonts w:eastAsia="Times New Roman"/>
                <w:i w:val="0"/>
                <w:sz w:val="16"/>
                <w:szCs w:val="16"/>
                <w:lang w:eastAsia="tr-TR"/>
              </w:rPr>
              <w:t>9</w:t>
            </w:r>
          </w:p>
        </w:tc>
        <w:tc>
          <w:tcPr>
            <w:tcW w:w="2694" w:type="dxa"/>
            <w:vAlign w:val="center"/>
          </w:tcPr>
          <w:p w:rsidR="00464BCF" w:rsidRPr="00E03868" w:rsidRDefault="00464BCF" w:rsidP="00464BCF">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464BCF" w:rsidRPr="00AA4F96" w:rsidRDefault="00464BCF" w:rsidP="00464BCF">
            <w:pPr>
              <w:spacing w:after="40"/>
              <w:rPr>
                <w:rFonts w:asciiTheme="majorHAnsi" w:eastAsia="Times New Roman" w:hAnsiTheme="majorHAnsi" w:cs="Tahoma"/>
                <w:sz w:val="16"/>
                <w:szCs w:val="16"/>
                <w:lang w:eastAsia="tr-TR"/>
              </w:rPr>
            </w:pPr>
            <w:r w:rsidRPr="00AA4F96">
              <w:rPr>
                <w:rFonts w:asciiTheme="majorHAnsi" w:eastAsia="Times New Roman" w:hAnsiTheme="majorHAnsi" w:cs="Tahoma"/>
                <w:sz w:val="16"/>
                <w:szCs w:val="16"/>
                <w:lang w:eastAsia="tr-TR"/>
              </w:rPr>
              <w:t xml:space="preserve">Ücretlendirme </w:t>
            </w:r>
            <w:hyperlink r:id="rId15" w:history="1">
              <w:r w:rsidRPr="00AA4F96">
                <w:rPr>
                  <w:rStyle w:val="Kpr"/>
                  <w:rFonts w:asciiTheme="majorHAnsi" w:eastAsia="Times New Roman" w:hAnsiTheme="majorHAnsi" w:cs="Tahoma"/>
                  <w:color w:val="auto"/>
                  <w:sz w:val="16"/>
                  <w:szCs w:val="16"/>
                  <w:lang w:eastAsia="tr-TR"/>
                </w:rPr>
                <w:t>www.tcscert.com</w:t>
              </w:r>
            </w:hyperlink>
            <w:r w:rsidRPr="00AA4F96">
              <w:rPr>
                <w:rFonts w:asciiTheme="majorHAnsi" w:eastAsia="Times New Roman" w:hAnsiTheme="majorHAnsi" w:cs="Tahoma"/>
                <w:sz w:val="16"/>
                <w:szCs w:val="16"/>
                <w:lang w:eastAsia="tr-TR"/>
              </w:rPr>
              <w:t xml:space="preserve"> adresinde ücretler başlığında mevcuttur.</w:t>
            </w:r>
          </w:p>
        </w:tc>
      </w:tr>
      <w:tr w:rsidR="00464BCF" w:rsidTr="00AA4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464BCF" w:rsidRPr="00764EE4" w:rsidRDefault="00F76802" w:rsidP="00464BCF">
            <w:pPr>
              <w:pStyle w:val="Balk4"/>
              <w:spacing w:before="0" w:after="40"/>
              <w:outlineLvl w:val="3"/>
              <w:rPr>
                <w:rFonts w:eastAsia="Times New Roman"/>
                <w:i w:val="0"/>
                <w:sz w:val="16"/>
                <w:szCs w:val="16"/>
                <w:lang w:eastAsia="tr-TR"/>
              </w:rPr>
            </w:pPr>
            <w:r w:rsidRPr="00764EE4">
              <w:rPr>
                <w:rFonts w:eastAsia="Times New Roman"/>
                <w:i w:val="0"/>
                <w:sz w:val="16"/>
                <w:szCs w:val="16"/>
                <w:lang w:eastAsia="tr-TR"/>
              </w:rPr>
              <w:t>30</w:t>
            </w:r>
          </w:p>
        </w:tc>
        <w:tc>
          <w:tcPr>
            <w:tcW w:w="2694" w:type="dxa"/>
            <w:hideMark/>
          </w:tcPr>
          <w:p w:rsidR="00464BCF" w:rsidRPr="00764EE4" w:rsidRDefault="00464BCF" w:rsidP="00464BCF">
            <w:pPr>
              <w:pStyle w:val="Balk4"/>
              <w:spacing w:before="0" w:after="40"/>
              <w:outlineLvl w:val="3"/>
              <w:rPr>
                <w:rFonts w:eastAsia="Times New Roman"/>
                <w:i w:val="0"/>
                <w:sz w:val="16"/>
                <w:szCs w:val="16"/>
                <w:lang w:eastAsia="tr-TR"/>
              </w:rPr>
            </w:pPr>
            <w:r w:rsidRPr="00764EE4">
              <w:rPr>
                <w:rFonts w:eastAsia="Times New Roman"/>
                <w:i w:val="0"/>
                <w:sz w:val="16"/>
                <w:szCs w:val="16"/>
                <w:lang w:eastAsia="tr-TR"/>
              </w:rPr>
              <w:t>Uyarı ve Bilgilendirme</w:t>
            </w:r>
          </w:p>
        </w:tc>
        <w:tc>
          <w:tcPr>
            <w:tcW w:w="7511" w:type="dxa"/>
            <w:hideMark/>
          </w:tcPr>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464BCF" w:rsidTr="00AA4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464BCF" w:rsidRPr="00764EE4" w:rsidRDefault="00F76802" w:rsidP="00464BCF">
            <w:pPr>
              <w:pStyle w:val="Balk4"/>
              <w:spacing w:before="0" w:after="40"/>
              <w:outlineLvl w:val="3"/>
              <w:rPr>
                <w:rFonts w:eastAsia="Times New Roman"/>
                <w:i w:val="0"/>
                <w:sz w:val="16"/>
                <w:szCs w:val="16"/>
                <w:lang w:eastAsia="tr-TR"/>
              </w:rPr>
            </w:pPr>
            <w:r w:rsidRPr="00764EE4">
              <w:rPr>
                <w:rFonts w:eastAsia="Times New Roman"/>
                <w:i w:val="0"/>
                <w:sz w:val="16"/>
                <w:szCs w:val="16"/>
                <w:lang w:eastAsia="tr-TR"/>
              </w:rPr>
              <w:t>31</w:t>
            </w:r>
          </w:p>
        </w:tc>
        <w:tc>
          <w:tcPr>
            <w:tcW w:w="2694" w:type="dxa"/>
            <w:hideMark/>
          </w:tcPr>
          <w:p w:rsidR="00464BCF" w:rsidRPr="00764EE4" w:rsidRDefault="00464BCF" w:rsidP="00464BCF">
            <w:pPr>
              <w:pStyle w:val="Balk4"/>
              <w:spacing w:before="0" w:after="40"/>
              <w:outlineLvl w:val="3"/>
              <w:rPr>
                <w:rFonts w:eastAsia="Times New Roman"/>
                <w:i w:val="0"/>
                <w:sz w:val="16"/>
                <w:szCs w:val="16"/>
                <w:lang w:eastAsia="tr-TR"/>
              </w:rPr>
            </w:pPr>
            <w:r w:rsidRPr="00764EE4">
              <w:rPr>
                <w:rFonts w:eastAsia="Times New Roman"/>
                <w:i w:val="0"/>
                <w:sz w:val="16"/>
                <w:szCs w:val="16"/>
                <w:lang w:eastAsia="tr-TR"/>
              </w:rPr>
              <w:t>Tavsiye Edilen Eğitim</w:t>
            </w:r>
          </w:p>
        </w:tc>
        <w:tc>
          <w:tcPr>
            <w:tcW w:w="7511" w:type="dxa"/>
          </w:tcPr>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EK A1-1: Yeterlilik Biriminin Kazandırılması için Tavsiye Edilen Eğitime İlişkin Bilgiler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Bu birim için aşağıda tanımlanan eğitim içeriğine sahip programın aday tarafından tamamlanması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tavsiye edilir.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Eğitim İçeriği: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 Acil durum</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 Alarm ve tehlike işaretleri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3. Çevre ve çevre kirliliği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4. Ekip içinde çalışma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5. Geri dönüşümlü atık</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6. İş sağlığı ve güvenliği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7. İşlem dokümantasyonu</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8. Kalite güvence/yönetim sistemleri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9. Kayıt tutma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10. Koruma kurtarma, ilk yardım ve yangın</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11. Risk ve tehlike analizi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12. Tehlikeli atık</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13. Temel ilk yardım</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14. Üretimden kaynaklanan çevresel riskler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15. Yangın ve yangından korunma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16. Zamanı iyi kullanma</w:t>
            </w:r>
          </w:p>
          <w:p w:rsidR="00464BCF" w:rsidRPr="00764EE4" w:rsidRDefault="00464BCF" w:rsidP="00464BCF">
            <w:pPr>
              <w:spacing w:after="40"/>
              <w:rPr>
                <w:rFonts w:asciiTheme="majorHAnsi" w:eastAsia="Times New Roman" w:hAnsiTheme="majorHAnsi" w:cs="Tahoma"/>
                <w:sz w:val="16"/>
                <w:szCs w:val="16"/>
                <w:lang w:eastAsia="tr-TR"/>
              </w:rPr>
            </w:pP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EK B1-1: Yeterlilik Biriminin Kazandırılması için Tavsiye Edilen Eğitime İlişkin Bilgiler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Bu birim için aşağıda tanımlanan eğitim içeriğine sahip programın aday tarafından tamamlanması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tavsiye edilir.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Eğitim İçeriği: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 Çevre Koruma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 Donanım ve araçların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3. Ekip çalışması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4. İş sağlığı ve güvenliği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5. Kaynak ağzı açma yöntemleri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6. Kaynak bileşenlerinin ön hazırlığı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7. Kaynak dikişinin düzgünlüğüne etki eden faktörler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8. Kaynak kalite gereklilikleri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9. Kaynak kalite kontrol metotları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10. Kaynak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11. Kontrol ve uygulama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12. Koruyucu gaz</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13. Kullanılan malzeme ve gereçlerin özellikleri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14. Kusur belirleme ve giderme yöntemleri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15. Makina ve gereçlerin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16. Metal ark gaz kaynağı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17. Tehlikeli atık</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18. Temel malzeme</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19. Temel üretim süreçleri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20. Üretimden Kaynaklanan Çevresel Riskler</w:t>
            </w:r>
          </w:p>
          <w:p w:rsidR="00464BCF" w:rsidRPr="00764EE4" w:rsidRDefault="00464BCF" w:rsidP="00464BCF">
            <w:pPr>
              <w:spacing w:after="40"/>
              <w:rPr>
                <w:rFonts w:asciiTheme="majorHAnsi" w:eastAsia="Times New Roman" w:hAnsiTheme="majorHAnsi" w:cs="Tahoma"/>
                <w:sz w:val="16"/>
                <w:szCs w:val="16"/>
                <w:lang w:eastAsia="tr-TR"/>
              </w:rPr>
            </w:pP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EK B2-1: Yeterlilik Biriminin Kazandırılması için Tavsiye Edilen Eğitime İlişkin Bilgiler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Bu birim için aşağıda tanımlanan eğitim içeriğine sahip programın aday tarafından tamamlanması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tavsiye edilir.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Eğitim İçeriği: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 Çevre Koruma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 Donanım ve araçların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3. Ekip çalışması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4. İş sağlığı ve güvenliği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5. Kaynak ağzı açma yöntemleri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6. Kaynak bileşenlerinin ön hazırlığı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7. Kaynak dikişinin düzgünlüğüne etki eden faktörler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8. Kaynak kalite gereklilikleri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9. Kaynak kalite kontrol metotları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10. Kaynak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11. Kontrol ve uygulama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12. Koruyucu gaz</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13. Kullanılan malzeme ve gereçlerin özellikleri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14. Kusur belirleme ve giderme yöntemleri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15. Makina ve gereçlerin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16. Tehlikeli atık</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17. Temel malzeme</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18. Temel üretim süreçleri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19. TIG kaynağı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20. Üretimden Kaynaklanan Çevresel Riskler</w:t>
            </w:r>
          </w:p>
          <w:p w:rsidR="00464BCF" w:rsidRPr="00764EE4" w:rsidRDefault="00464BCF" w:rsidP="00464BCF">
            <w:pPr>
              <w:spacing w:after="40"/>
              <w:rPr>
                <w:rFonts w:asciiTheme="majorHAnsi" w:eastAsia="Times New Roman" w:hAnsiTheme="majorHAnsi" w:cs="Tahoma"/>
                <w:sz w:val="16"/>
                <w:szCs w:val="16"/>
                <w:lang w:eastAsia="tr-TR"/>
              </w:rPr>
            </w:pP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EK B3-1: Yeterlilik Biriminin Kazandırılması için Tavsiye Edilen Eğitime İlişkin Bilgiler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Bu birim için aşağıda tanımlanan eğitim içeriğine sahip programın aday tarafından tamamlanması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tavsiye edilir.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Eğitim İçeriği: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 Çevre Koruma</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 Donanım ve araçların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3. Ekip çalışması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4. İş sağlığı ve güvenliği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5. Kaynak ağzı açma yöntemleri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6. Kaynak bileşenlerinin ön hazırlığı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7. Kaynak dikişinin düzgünlüğüne etki eden faktörler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8. Kaynak kalite gereklilikleri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9. Kaynak kalite kontrol metotları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10. Kaynak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11. Kontrol ve uygulama teknikleri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12. Koruyucu gaz/tozlar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13. Kullanılan malzeme ve gereçlerin özellikleri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14. Makine ve gereçlerin kullanımı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15. Plazma kaynağı</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16. Tehlikeli atık</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17. Temel malzeme</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18. Temel üretim süreçleri</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19. Ulusal kalite yönetmelikleri teknik standartlar</w:t>
            </w:r>
          </w:p>
          <w:p w:rsidR="00464BCF" w:rsidRPr="00764EE4" w:rsidRDefault="00464BCF" w:rsidP="00464BCF">
            <w:pPr>
              <w:spacing w:after="40"/>
              <w:rPr>
                <w:rFonts w:asciiTheme="majorHAnsi" w:eastAsia="Times New Roman" w:hAnsiTheme="majorHAnsi" w:cs="Tahoma"/>
                <w:sz w:val="16"/>
                <w:szCs w:val="16"/>
                <w:lang w:eastAsia="tr-TR"/>
              </w:rPr>
            </w:pPr>
            <w:r w:rsidRPr="00764EE4">
              <w:rPr>
                <w:rFonts w:asciiTheme="majorHAnsi" w:eastAsia="Times New Roman" w:hAnsiTheme="majorHAnsi" w:cs="Tahoma"/>
                <w:sz w:val="16"/>
                <w:szCs w:val="16"/>
                <w:lang w:eastAsia="tr-TR"/>
              </w:rPr>
              <w:t>20. Üretimden Kaynaklanan Çevresel Riskler</w:t>
            </w:r>
          </w:p>
          <w:p w:rsidR="00464BCF" w:rsidRPr="00764EE4" w:rsidRDefault="00464BCF" w:rsidP="00464BCF">
            <w:pPr>
              <w:spacing w:after="40"/>
              <w:rPr>
                <w:rFonts w:asciiTheme="majorHAnsi" w:eastAsia="Times New Roman" w:hAnsiTheme="majorHAnsi" w:cs="Tahoma"/>
                <w:sz w:val="16"/>
                <w:szCs w:val="16"/>
                <w:lang w:eastAsia="tr-TR"/>
              </w:rPr>
            </w:pPr>
          </w:p>
          <w:p w:rsidR="00464BCF" w:rsidRPr="00764EE4" w:rsidRDefault="00464BCF" w:rsidP="00464BCF">
            <w:pPr>
              <w:spacing w:after="40"/>
              <w:rPr>
                <w:rFonts w:asciiTheme="majorHAnsi" w:eastAsia="Times New Roman" w:hAnsiTheme="majorHAnsi" w:cs="Tahoma"/>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A0" w:rsidRDefault="00B967A0" w:rsidP="00D57DA4">
      <w:pPr>
        <w:spacing w:after="0" w:line="240" w:lineRule="auto"/>
      </w:pPr>
      <w:r>
        <w:separator/>
      </w:r>
    </w:p>
  </w:endnote>
  <w:endnote w:type="continuationSeparator" w:id="0">
    <w:p w:rsidR="00B967A0" w:rsidRDefault="00B967A0"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E1999" w:rsidP="00D57DA4">
    <w:pPr>
      <w:pStyle w:val="AltBilgi"/>
      <w:ind w:right="-568"/>
      <w:rPr>
        <w:rFonts w:ascii="Tahoma" w:hAnsi="Tahoma" w:cs="Tahoma"/>
        <w:sz w:val="20"/>
        <w:szCs w:val="20"/>
      </w:rPr>
    </w:pPr>
    <w:r>
      <w:rPr>
        <w:rFonts w:ascii="Tahoma" w:hAnsi="Tahoma" w:cs="Tahoma"/>
        <w:sz w:val="20"/>
        <w:szCs w:val="20"/>
      </w:rPr>
      <w:t>PRG.18_REV0</w:t>
    </w:r>
    <w:r w:rsidR="00F6678F">
      <w:rPr>
        <w:rFonts w:ascii="Tahoma" w:hAnsi="Tahoma" w:cs="Tahoma"/>
        <w:sz w:val="20"/>
        <w:szCs w:val="20"/>
      </w:rPr>
      <w:t>6</w:t>
    </w:r>
    <w:r>
      <w:rPr>
        <w:rFonts w:ascii="Tahoma" w:hAnsi="Tahoma" w:cs="Tahoma"/>
        <w:sz w:val="20"/>
        <w:szCs w:val="20"/>
      </w:rPr>
      <w:t xml:space="preserve"> </w:t>
    </w:r>
    <w:r w:rsidR="00D57DA4" w:rsidRPr="009B079D">
      <w:rPr>
        <w:rFonts w:ascii="Tahoma" w:hAnsi="Tahoma" w:cs="Tahoma"/>
        <w:sz w:val="20"/>
        <w:szCs w:val="20"/>
      </w:rPr>
      <w:t>(</w:t>
    </w:r>
    <w:r w:rsidR="00F6678F">
      <w:rPr>
        <w:rFonts w:ascii="Tahoma" w:hAnsi="Tahoma" w:cs="Tahoma"/>
        <w:sz w:val="20"/>
        <w:szCs w:val="20"/>
      </w:rPr>
      <w:t>25.05.2022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F6678F">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F6678F">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A0" w:rsidRDefault="00B967A0" w:rsidP="00D57DA4">
      <w:pPr>
        <w:spacing w:after="0" w:line="240" w:lineRule="auto"/>
      </w:pPr>
      <w:r>
        <w:separator/>
      </w:r>
    </w:p>
  </w:footnote>
  <w:footnote w:type="continuationSeparator" w:id="0">
    <w:p w:rsidR="00B967A0" w:rsidRDefault="00B967A0"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59063A" w:rsidRDefault="0059063A" w:rsidP="001228B2">
    <w:pPr>
      <w:pStyle w:val="KonuBal"/>
      <w:jc w:val="right"/>
      <w:rPr>
        <w:rStyle w:val="HafifVurgulama"/>
        <w:i w:val="0"/>
        <w:iCs w:val="0"/>
        <w:color w:val="17365D" w:themeColor="text2" w:themeShade="BF"/>
        <w:sz w:val="28"/>
        <w:szCs w:val="28"/>
      </w:rPr>
    </w:pPr>
    <w:r w:rsidRPr="0059063A">
      <w:rPr>
        <w:noProof/>
        <w:sz w:val="28"/>
        <w:szCs w:val="28"/>
        <w:lang w:eastAsia="tr-TR"/>
      </w:rPr>
      <w:drawing>
        <wp:anchor distT="0" distB="0" distL="114300" distR="114300" simplePos="0" relativeHeight="251657728" behindDoc="0" locked="0" layoutInCell="1" allowOverlap="1" wp14:anchorId="542F823F" wp14:editId="3DA48A59">
          <wp:simplePos x="0" y="0"/>
          <wp:positionH relativeFrom="column">
            <wp:posOffset>78740</wp:posOffset>
          </wp:positionH>
          <wp:positionV relativeFrom="paragraph">
            <wp:posOffset>-81915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59063A">
      <w:rPr>
        <w:sz w:val="28"/>
        <w:szCs w:val="28"/>
      </w:rPr>
      <w:t xml:space="preserve">                     </w:t>
    </w:r>
    <w:r w:rsidR="001228B2" w:rsidRPr="0059063A">
      <w:rPr>
        <w:sz w:val="28"/>
        <w:szCs w:val="28"/>
      </w:rPr>
      <w:t xml:space="preserve">     </w:t>
    </w:r>
    <w:r w:rsidR="00E970DC" w:rsidRPr="0059063A">
      <w:rPr>
        <w:sz w:val="28"/>
        <w:szCs w:val="28"/>
      </w:rPr>
      <w:t>ALÜMİNYUM KAYNAKÇISI</w:t>
    </w:r>
    <w:r w:rsidRPr="0059063A">
      <w:rPr>
        <w:sz w:val="28"/>
        <w:szCs w:val="28"/>
      </w:rPr>
      <w:t xml:space="preserve"> –</w:t>
    </w:r>
    <w:r>
      <w:rPr>
        <w:sz w:val="28"/>
        <w:szCs w:val="28"/>
      </w:rPr>
      <w:t xml:space="preserve"> SEV</w:t>
    </w:r>
    <w:r w:rsidRPr="0059063A">
      <w:rPr>
        <w:sz w:val="28"/>
        <w:szCs w:val="28"/>
      </w:rPr>
      <w:t>İYE 3</w:t>
    </w:r>
    <w:r w:rsidR="00995FBE" w:rsidRPr="0059063A">
      <w:rPr>
        <w:sz w:val="28"/>
        <w:szCs w:val="28"/>
      </w:rPr>
      <w:t xml:space="preserve"> – REV0</w:t>
    </w:r>
    <w:r>
      <w:rPr>
        <w:sz w:val="28"/>
        <w:szCs w:val="28"/>
      </w:rPr>
      <w:t>2</w:t>
    </w:r>
  </w:p>
  <w:p w:rsidR="00D57DA4" w:rsidRPr="0059063A" w:rsidRDefault="00BA315C" w:rsidP="001228B2">
    <w:pPr>
      <w:pStyle w:val="KonuBal"/>
      <w:jc w:val="right"/>
      <w:rPr>
        <w:sz w:val="28"/>
        <w:szCs w:val="28"/>
      </w:rPr>
    </w:pPr>
    <w:r w:rsidRPr="0059063A">
      <w:rPr>
        <w:sz w:val="28"/>
        <w:szCs w:val="28"/>
      </w:rPr>
      <w:t xml:space="preserve">                           </w:t>
    </w:r>
    <w:r w:rsidR="00FC4C22" w:rsidRPr="0059063A">
      <w:rPr>
        <w:sz w:val="28"/>
        <w:szCs w:val="28"/>
      </w:rPr>
      <w:t xml:space="preserve">                                    </w:t>
    </w:r>
    <w:r w:rsidR="006D5EB9" w:rsidRPr="0059063A">
      <w:rPr>
        <w:sz w:val="28"/>
        <w:szCs w:val="28"/>
      </w:rPr>
      <w:t xml:space="preserve">     </w:t>
    </w:r>
    <w:r w:rsidR="00D57DA4" w:rsidRPr="0059063A">
      <w:rPr>
        <w:sz w:val="28"/>
        <w:szCs w:val="28"/>
      </w:rPr>
      <w:t xml:space="preserve">BELGELENDİRME </w:t>
    </w:r>
    <w:r w:rsidR="00764EE4" w:rsidRPr="00764EE4">
      <w:rPr>
        <w:color w:val="FF0000"/>
        <w:sz w:val="28"/>
        <w:szCs w:val="28"/>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68D0"/>
    <w:rsid w:val="000C3388"/>
    <w:rsid w:val="000C636B"/>
    <w:rsid w:val="000E0500"/>
    <w:rsid w:val="000E1999"/>
    <w:rsid w:val="000F6E43"/>
    <w:rsid w:val="00100477"/>
    <w:rsid w:val="001228B2"/>
    <w:rsid w:val="00130151"/>
    <w:rsid w:val="0015582D"/>
    <w:rsid w:val="0015734A"/>
    <w:rsid w:val="00192BC0"/>
    <w:rsid w:val="0019734E"/>
    <w:rsid w:val="001A4DB6"/>
    <w:rsid w:val="001B2B31"/>
    <w:rsid w:val="001F33D8"/>
    <w:rsid w:val="00240B85"/>
    <w:rsid w:val="00242321"/>
    <w:rsid w:val="0024478C"/>
    <w:rsid w:val="00254F57"/>
    <w:rsid w:val="002A02C8"/>
    <w:rsid w:val="002B7CA6"/>
    <w:rsid w:val="003015BD"/>
    <w:rsid w:val="003041A3"/>
    <w:rsid w:val="003453B1"/>
    <w:rsid w:val="00345EFE"/>
    <w:rsid w:val="003511E7"/>
    <w:rsid w:val="00354F21"/>
    <w:rsid w:val="00384E84"/>
    <w:rsid w:val="003E540E"/>
    <w:rsid w:val="003E560A"/>
    <w:rsid w:val="00423D74"/>
    <w:rsid w:val="004418D5"/>
    <w:rsid w:val="00464BCF"/>
    <w:rsid w:val="00465EBA"/>
    <w:rsid w:val="004671F2"/>
    <w:rsid w:val="004708CE"/>
    <w:rsid w:val="00473DAC"/>
    <w:rsid w:val="004757F4"/>
    <w:rsid w:val="0047791D"/>
    <w:rsid w:val="004827BF"/>
    <w:rsid w:val="004B4CE2"/>
    <w:rsid w:val="004E638C"/>
    <w:rsid w:val="004F0A84"/>
    <w:rsid w:val="00501B72"/>
    <w:rsid w:val="00507553"/>
    <w:rsid w:val="005558F7"/>
    <w:rsid w:val="00573F3A"/>
    <w:rsid w:val="00574260"/>
    <w:rsid w:val="00575065"/>
    <w:rsid w:val="0059063A"/>
    <w:rsid w:val="005A1F0E"/>
    <w:rsid w:val="005F3B9D"/>
    <w:rsid w:val="00643578"/>
    <w:rsid w:val="006817B0"/>
    <w:rsid w:val="006841F6"/>
    <w:rsid w:val="006A00E6"/>
    <w:rsid w:val="006B0260"/>
    <w:rsid w:val="006C4F10"/>
    <w:rsid w:val="006D5EB9"/>
    <w:rsid w:val="006E7BF2"/>
    <w:rsid w:val="006F46CB"/>
    <w:rsid w:val="00705AA5"/>
    <w:rsid w:val="007410CC"/>
    <w:rsid w:val="00742D90"/>
    <w:rsid w:val="00764EE4"/>
    <w:rsid w:val="007A7EC8"/>
    <w:rsid w:val="007B2582"/>
    <w:rsid w:val="007B50E5"/>
    <w:rsid w:val="007B6C07"/>
    <w:rsid w:val="007C2A13"/>
    <w:rsid w:val="007E12AE"/>
    <w:rsid w:val="007E7C38"/>
    <w:rsid w:val="007F1F12"/>
    <w:rsid w:val="007F4368"/>
    <w:rsid w:val="00800F14"/>
    <w:rsid w:val="0080317F"/>
    <w:rsid w:val="00816103"/>
    <w:rsid w:val="00873285"/>
    <w:rsid w:val="00883EC4"/>
    <w:rsid w:val="0089502A"/>
    <w:rsid w:val="008B06F2"/>
    <w:rsid w:val="008B3ADF"/>
    <w:rsid w:val="00992B6E"/>
    <w:rsid w:val="00995FBE"/>
    <w:rsid w:val="00996EA0"/>
    <w:rsid w:val="009B079D"/>
    <w:rsid w:val="009C04F6"/>
    <w:rsid w:val="009C6DC9"/>
    <w:rsid w:val="009F1907"/>
    <w:rsid w:val="00A33904"/>
    <w:rsid w:val="00A3449B"/>
    <w:rsid w:val="00A45602"/>
    <w:rsid w:val="00A47A00"/>
    <w:rsid w:val="00AA4F96"/>
    <w:rsid w:val="00AA7CF3"/>
    <w:rsid w:val="00AB1A00"/>
    <w:rsid w:val="00AE6532"/>
    <w:rsid w:val="00B05269"/>
    <w:rsid w:val="00B12E6A"/>
    <w:rsid w:val="00B22FA1"/>
    <w:rsid w:val="00B91025"/>
    <w:rsid w:val="00B967A0"/>
    <w:rsid w:val="00BA315C"/>
    <w:rsid w:val="00BA3A0F"/>
    <w:rsid w:val="00BE0E6D"/>
    <w:rsid w:val="00BE1605"/>
    <w:rsid w:val="00C47E01"/>
    <w:rsid w:val="00C74147"/>
    <w:rsid w:val="00C87F6B"/>
    <w:rsid w:val="00CA6698"/>
    <w:rsid w:val="00D12170"/>
    <w:rsid w:val="00D1675C"/>
    <w:rsid w:val="00D2243A"/>
    <w:rsid w:val="00D46A74"/>
    <w:rsid w:val="00D46C87"/>
    <w:rsid w:val="00D57DA4"/>
    <w:rsid w:val="00D60500"/>
    <w:rsid w:val="00D7147C"/>
    <w:rsid w:val="00DB677D"/>
    <w:rsid w:val="00E03868"/>
    <w:rsid w:val="00E14212"/>
    <w:rsid w:val="00E501D5"/>
    <w:rsid w:val="00E8734C"/>
    <w:rsid w:val="00E970DC"/>
    <w:rsid w:val="00EA2184"/>
    <w:rsid w:val="00F04986"/>
    <w:rsid w:val="00F35142"/>
    <w:rsid w:val="00F36DEB"/>
    <w:rsid w:val="00F60CEE"/>
    <w:rsid w:val="00F6678F"/>
    <w:rsid w:val="00F75391"/>
    <w:rsid w:val="00F76802"/>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5C6C5"/>
  <w15:docId w15:val="{B8FA0ED4-E299-4248-B783-E6D076A1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8B3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0920">
      <w:bodyDiv w:val="1"/>
      <w:marLeft w:val="0"/>
      <w:marRight w:val="0"/>
      <w:marTop w:val="0"/>
      <w:marBottom w:val="0"/>
      <w:divBdr>
        <w:top w:val="none" w:sz="0" w:space="0" w:color="auto"/>
        <w:left w:val="none" w:sz="0" w:space="0" w:color="auto"/>
        <w:bottom w:val="none" w:sz="0" w:space="0" w:color="auto"/>
        <w:right w:val="none" w:sz="0" w:space="0" w:color="auto"/>
      </w:divBdr>
    </w:div>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801534481">
      <w:bodyDiv w:val="1"/>
      <w:marLeft w:val="0"/>
      <w:marRight w:val="0"/>
      <w:marTop w:val="0"/>
      <w:marBottom w:val="0"/>
      <w:divBdr>
        <w:top w:val="none" w:sz="0" w:space="0" w:color="auto"/>
        <w:left w:val="none" w:sz="0" w:space="0" w:color="auto"/>
        <w:bottom w:val="none" w:sz="0" w:space="0" w:color="auto"/>
        <w:right w:val="none" w:sz="0" w:space="0" w:color="auto"/>
      </w:divBdr>
    </w:div>
    <w:div w:id="21093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1481</Words>
  <Characters>8447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145</cp:revision>
  <cp:lastPrinted>2021-06-24T10:51:00Z</cp:lastPrinted>
  <dcterms:created xsi:type="dcterms:W3CDTF">2016-10-31T06:38:00Z</dcterms:created>
  <dcterms:modified xsi:type="dcterms:W3CDTF">2022-05-25T12:33:00Z</dcterms:modified>
</cp:coreProperties>
</file>