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D927A9">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5A3A89" w:rsidRDefault="005A3A89" w:rsidP="002769FE">
            <w:pPr>
              <w:pStyle w:val="Default"/>
              <w:rPr>
                <w:sz w:val="23"/>
                <w:szCs w:val="23"/>
              </w:rPr>
            </w:pPr>
            <w:r w:rsidRPr="005A3A89">
              <w:rPr>
                <w:rFonts w:asciiTheme="majorHAnsi" w:eastAsia="Times New Roman" w:hAnsiTheme="majorHAnsi" w:cs="Tahoma"/>
                <w:color w:val="auto"/>
                <w:sz w:val="16"/>
                <w:szCs w:val="16"/>
                <w:lang w:eastAsia="tr-TR"/>
              </w:rPr>
              <w:t>12UY0069-3 PLASTİK ENJEKSİYON ÜRETİM ELEMANI</w:t>
            </w:r>
            <w:r>
              <w:rPr>
                <w:sz w:val="23"/>
                <w:szCs w:val="23"/>
              </w:rPr>
              <w:t xml:space="preserve"> </w:t>
            </w:r>
          </w:p>
        </w:tc>
      </w:tr>
      <w:tr w:rsidR="00374977" w:rsidRPr="005558F7" w:rsidTr="00D927A9">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3E7E3D" w:rsidRDefault="003E7E3D" w:rsidP="005A3A89">
            <w:pPr>
              <w:pStyle w:val="Default"/>
              <w:rPr>
                <w:rFonts w:asciiTheme="majorHAnsi" w:eastAsia="Times New Roman" w:hAnsiTheme="majorHAnsi" w:cs="Tahoma"/>
                <w:color w:val="auto"/>
                <w:sz w:val="16"/>
                <w:szCs w:val="16"/>
                <w:lang w:eastAsia="tr-TR"/>
              </w:rPr>
            </w:pPr>
            <w:r w:rsidRPr="003E7E3D">
              <w:rPr>
                <w:rFonts w:asciiTheme="majorHAnsi" w:eastAsia="Times New Roman" w:hAnsiTheme="majorHAnsi" w:cs="Tahoma"/>
                <w:color w:val="auto"/>
                <w:sz w:val="16"/>
                <w:szCs w:val="16"/>
                <w:lang w:eastAsia="tr-TR"/>
              </w:rPr>
              <w:t xml:space="preserve">Plastik sektöründe, Plastik Enjeksiyon Üretim Elemanı (Seviye 3) mesleğinin başarılı, verimli ve uluslar arası standartlara uygun, çalışanların iş tatmini almasını sağlayacak şekilde yapılabilmesi, üretimin eksiksiz, kaliteli olarak gerçekleştirilebilmesi, işin geliştirilerek sürdürülebilmesi için; </w:t>
            </w:r>
          </w:p>
          <w:p w:rsidR="003E7E3D" w:rsidRDefault="003E7E3D" w:rsidP="005A3A89">
            <w:pPr>
              <w:pStyle w:val="Default"/>
              <w:rPr>
                <w:rFonts w:asciiTheme="majorHAnsi" w:eastAsia="Times New Roman" w:hAnsiTheme="majorHAnsi" w:cs="Tahoma"/>
                <w:color w:val="auto"/>
                <w:sz w:val="16"/>
                <w:szCs w:val="16"/>
                <w:lang w:eastAsia="tr-TR"/>
              </w:rPr>
            </w:pPr>
            <w:r w:rsidRPr="003E7E3D">
              <w:rPr>
                <w:rFonts w:asciiTheme="majorHAnsi" w:eastAsia="Times New Roman" w:hAnsiTheme="majorHAnsi" w:cs="Tahoma"/>
                <w:color w:val="auto"/>
                <w:sz w:val="16"/>
                <w:szCs w:val="16"/>
                <w:lang w:eastAsia="tr-TR"/>
              </w:rPr>
              <w:t xml:space="preserve">Adayların sahip olması gereken nitelikleri, bilgi, beceri ve yetkinlikleri tanımlamak, </w:t>
            </w:r>
          </w:p>
          <w:p w:rsidR="003E7E3D" w:rsidRDefault="003E7E3D" w:rsidP="005A3A89">
            <w:pPr>
              <w:pStyle w:val="Default"/>
              <w:rPr>
                <w:rFonts w:asciiTheme="majorHAnsi" w:eastAsia="Times New Roman" w:hAnsiTheme="majorHAnsi" w:cs="Tahoma"/>
                <w:color w:val="auto"/>
                <w:sz w:val="16"/>
                <w:szCs w:val="16"/>
                <w:lang w:eastAsia="tr-TR"/>
              </w:rPr>
            </w:pPr>
            <w:r w:rsidRPr="003E7E3D">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2F7056" w:rsidRPr="002069D8" w:rsidRDefault="003E7E3D" w:rsidP="005A3A89">
            <w:pPr>
              <w:pStyle w:val="Default"/>
              <w:rPr>
                <w:rFonts w:asciiTheme="majorHAnsi" w:eastAsia="Times New Roman" w:hAnsiTheme="majorHAnsi" w:cs="Tahoma"/>
                <w:color w:val="auto"/>
                <w:sz w:val="16"/>
                <w:szCs w:val="16"/>
                <w:lang w:eastAsia="tr-TR"/>
              </w:rPr>
            </w:pPr>
            <w:r w:rsidRPr="003E7E3D">
              <w:rPr>
                <w:rFonts w:asciiTheme="majorHAnsi" w:eastAsia="Times New Roman" w:hAnsiTheme="majorHAnsi" w:cs="Tahoma"/>
                <w:color w:val="auto"/>
                <w:sz w:val="16"/>
                <w:szCs w:val="16"/>
                <w:lang w:eastAsia="tr-TR"/>
              </w:rPr>
              <w:t>Eğitim sistemine, sınav ve belgelendirme kuruluşlarına referans ve kaynak oluşturmaktır.</w:t>
            </w:r>
          </w:p>
        </w:tc>
      </w:tr>
      <w:tr w:rsidR="00374977" w:rsidRPr="005558F7" w:rsidTr="00D927A9">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5A3A89" w:rsidRDefault="005A3A89" w:rsidP="002069D8">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 xml:space="preserve">Plastik Enjeksiyon Üretim Elemanı (Seviye 3) Ulusal Meslek Standardı –10UMS0069-3 </w:t>
            </w:r>
          </w:p>
        </w:tc>
      </w:tr>
      <w:tr w:rsidR="005A3A89" w:rsidRPr="005558F7" w:rsidTr="00D927A9">
        <w:trPr>
          <w:trHeight w:val="318"/>
        </w:trPr>
        <w:tc>
          <w:tcPr>
            <w:tcW w:w="568" w:type="dxa"/>
            <w:vAlign w:val="center"/>
          </w:tcPr>
          <w:p w:rsidR="005A3A89" w:rsidRPr="00E03868" w:rsidRDefault="005A3A89"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5A3A89" w:rsidRPr="00E03868" w:rsidRDefault="005A3A89"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5A3A89" w:rsidRPr="005A3A89" w:rsidRDefault="005A3A89" w:rsidP="008C05FF">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12UY0069-3 PLASTİK ENJEKSİYON ÜRETİM ELEMANI REV02</w:t>
            </w:r>
          </w:p>
        </w:tc>
      </w:tr>
      <w:tr w:rsidR="00374977" w:rsidRPr="005558F7" w:rsidTr="00D927A9">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5A3A89" w:rsidRPr="003E7E3D" w:rsidRDefault="003E7E3D" w:rsidP="002C0012">
            <w:pPr>
              <w:pStyle w:val="Default"/>
              <w:rPr>
                <w:color w:val="FF0000"/>
                <w:sz w:val="23"/>
                <w:szCs w:val="23"/>
              </w:rPr>
            </w:pPr>
            <w:r w:rsidRPr="003E7E3D">
              <w:rPr>
                <w:rFonts w:asciiTheme="majorHAnsi" w:eastAsia="Times New Roman" w:hAnsiTheme="majorHAnsi" w:cs="Tahoma"/>
                <w:color w:val="FF0000"/>
                <w:sz w:val="16"/>
                <w:szCs w:val="16"/>
                <w:lang w:eastAsia="tr-TR"/>
              </w:rPr>
              <w:t>-</w:t>
            </w:r>
            <w:r w:rsidR="005A3A89" w:rsidRPr="003E7E3D">
              <w:rPr>
                <w:color w:val="FF0000"/>
                <w:sz w:val="23"/>
                <w:szCs w:val="23"/>
              </w:rPr>
              <w:t xml:space="preserve"> </w:t>
            </w:r>
          </w:p>
        </w:tc>
      </w:tr>
      <w:tr w:rsidR="00374977" w:rsidRPr="005558F7" w:rsidTr="00A14797">
        <w:trPr>
          <w:trHeight w:val="42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D927A9">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D927A9">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D927A9">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D927A9">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D927A9">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D927A9">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D927A9">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5A3A89" w:rsidRPr="005A3A89" w:rsidRDefault="005A3A89" w:rsidP="005A3A89">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 xml:space="preserve">12UY0069-3 / A1 İş Sağlığı ve Güvenliği, Çevre Koruma </w:t>
            </w:r>
          </w:p>
          <w:p w:rsidR="002C0012" w:rsidRPr="002069D8" w:rsidRDefault="005A3A89" w:rsidP="005A3A89">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12UY0069-3 / A2 Plastik Enjeksiyon Üretim İşlemleri</w:t>
            </w:r>
            <w:r>
              <w:rPr>
                <w:sz w:val="23"/>
                <w:szCs w:val="23"/>
              </w:rPr>
              <w:t xml:space="preserve"> </w:t>
            </w:r>
          </w:p>
        </w:tc>
      </w:tr>
      <w:tr w:rsidR="00374977" w:rsidRPr="005558F7" w:rsidTr="00D927A9">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5A3A89" w:rsidP="002069D8">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D927A9">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2069D8" w:rsidRDefault="00374977" w:rsidP="002069D8">
            <w:pPr>
              <w:spacing w:after="40"/>
              <w:rPr>
                <w:rFonts w:asciiTheme="majorHAnsi" w:eastAsia="Times New Roman" w:hAnsiTheme="majorHAnsi" w:cs="Tahoma"/>
                <w:sz w:val="16"/>
                <w:szCs w:val="16"/>
                <w:lang w:eastAsia="tr-TR"/>
              </w:rPr>
            </w:pPr>
            <w:r w:rsidRPr="002069D8">
              <w:rPr>
                <w:rFonts w:asciiTheme="majorHAnsi" w:eastAsia="Times New Roman" w:hAnsiTheme="majorHAnsi" w:cs="Tahoma"/>
                <w:sz w:val="16"/>
                <w:szCs w:val="16"/>
                <w:lang w:eastAsia="tr-TR"/>
              </w:rPr>
              <w:t xml:space="preserve">Aşağıdaki linke tıklayınız. </w:t>
            </w:r>
          </w:p>
          <w:p w:rsidR="00374977" w:rsidRPr="002069D8" w:rsidRDefault="005A3A89" w:rsidP="002069D8">
            <w:pPr>
              <w:spacing w:after="40"/>
              <w:rPr>
                <w:color w:val="0000FF" w:themeColor="hyperlink"/>
                <w:sz w:val="16"/>
                <w:szCs w:val="16"/>
                <w:u w:val="single"/>
              </w:rPr>
            </w:pPr>
            <w:r w:rsidRPr="005A3A89">
              <w:rPr>
                <w:rStyle w:val="Kpr"/>
                <w:sz w:val="16"/>
                <w:szCs w:val="16"/>
              </w:rPr>
              <w:t>12UY0069-3 PLASTİK ENJEKSİYON ÜRETİM ELEMANI REV02</w:t>
            </w:r>
          </w:p>
        </w:tc>
      </w:tr>
      <w:tr w:rsidR="00374977" w:rsidRPr="005558F7" w:rsidTr="00A14797">
        <w:trPr>
          <w:trHeight w:val="44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D927A9">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8269D5"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8269D5">
        <w:trPr>
          <w:trHeight w:val="59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D927A9">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5A3A89" w:rsidRDefault="005A3A89" w:rsidP="002069D8">
            <w:pPr>
              <w:pStyle w:val="Default"/>
              <w:rPr>
                <w:rFonts w:asciiTheme="majorHAnsi" w:eastAsia="Times New Roman" w:hAnsiTheme="majorHAnsi" w:cs="Tahoma"/>
                <w:color w:val="auto"/>
                <w:sz w:val="16"/>
                <w:szCs w:val="16"/>
                <w:lang w:eastAsia="tr-TR"/>
              </w:rPr>
            </w:pPr>
            <w:r w:rsidRPr="005A3A89">
              <w:rPr>
                <w:rFonts w:asciiTheme="majorHAnsi" w:eastAsia="Times New Roman" w:hAnsiTheme="majorHAnsi" w:cs="Tahoma"/>
                <w:color w:val="auto"/>
                <w:sz w:val="16"/>
                <w:szCs w:val="16"/>
                <w:lang w:eastAsia="tr-TR"/>
              </w:rPr>
              <w:t xml:space="preserve">Yeterlilik belgesinin geçerlilik süresi belgenin düzenlendiği tarihten itibaren 5 (beş) yıldır. </w:t>
            </w:r>
          </w:p>
        </w:tc>
      </w:tr>
      <w:tr w:rsidR="00115705" w:rsidRPr="005558F7" w:rsidTr="005F5D2F">
        <w:trPr>
          <w:trHeight w:val="379"/>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F7056" w:rsidRPr="002F7056" w:rsidRDefault="005347ED" w:rsidP="002F7056">
            <w:pPr>
              <w:spacing w:after="40"/>
              <w:rPr>
                <w:sz w:val="23"/>
                <w:szCs w:val="23"/>
              </w:rPr>
            </w:pPr>
            <w:r w:rsidRPr="005347ED">
              <w:rPr>
                <w:rFonts w:asciiTheme="majorHAnsi" w:eastAsia="Times New Roman" w:hAnsiTheme="majorHAnsi" w:cs="Tahoma"/>
                <w:color w:val="FF0000"/>
                <w:sz w:val="16"/>
                <w:szCs w:val="16"/>
                <w:lang w:eastAsia="tr-TR"/>
              </w:rPr>
              <w:t>-</w:t>
            </w:r>
            <w:r w:rsidR="00D4680E" w:rsidRPr="005347ED">
              <w:rPr>
                <w:color w:val="FF0000"/>
                <w:sz w:val="23"/>
                <w:szCs w:val="23"/>
              </w:rPr>
              <w:t xml:space="preserve"> </w:t>
            </w:r>
          </w:p>
        </w:tc>
      </w:tr>
      <w:tr w:rsidR="005F5D2F" w:rsidRPr="005558F7" w:rsidTr="005F5D2F">
        <w:trPr>
          <w:trHeight w:val="839"/>
        </w:trPr>
        <w:tc>
          <w:tcPr>
            <w:tcW w:w="568" w:type="dxa"/>
            <w:vAlign w:val="center"/>
          </w:tcPr>
          <w:p w:rsidR="005F5D2F" w:rsidRDefault="005F5D2F" w:rsidP="005F5D2F">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5F5D2F" w:rsidRDefault="005F5D2F" w:rsidP="005F5D2F">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5F5D2F" w:rsidRDefault="005F5D2F" w:rsidP="005F5D2F">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A1 :</w:t>
            </w:r>
            <w:r>
              <w:rPr>
                <w:rFonts w:asciiTheme="majorHAnsi" w:eastAsia="Times New Roman" w:hAnsiTheme="majorHAnsi" w:cs="Tahoma"/>
                <w:i/>
                <w:color w:val="FF0000"/>
                <w:sz w:val="16"/>
                <w:szCs w:val="16"/>
                <w:lang w:eastAsia="tr-TR"/>
              </w:rPr>
              <w:t xml:space="preserve"> 12 adet soru </w:t>
            </w:r>
          </w:p>
          <w:p w:rsidR="005F5D2F" w:rsidRDefault="005F5D2F" w:rsidP="005F5D2F">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  60</w:t>
            </w:r>
          </w:p>
          <w:p w:rsidR="005F5D2F" w:rsidRDefault="005F5D2F" w:rsidP="005F5D2F">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A2 :</w:t>
            </w:r>
            <w:r>
              <w:rPr>
                <w:rFonts w:asciiTheme="majorHAnsi" w:eastAsia="Times New Roman" w:hAnsiTheme="majorHAnsi" w:cs="Tahoma"/>
                <w:i/>
                <w:color w:val="FF0000"/>
                <w:sz w:val="16"/>
                <w:szCs w:val="16"/>
                <w:lang w:eastAsia="tr-TR"/>
              </w:rPr>
              <w:t xml:space="preserve"> 30 adet soru </w:t>
            </w:r>
          </w:p>
          <w:p w:rsidR="005F5D2F" w:rsidRDefault="005F5D2F" w:rsidP="005F5D2F">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 60</w:t>
            </w:r>
          </w:p>
        </w:tc>
      </w:tr>
      <w:tr w:rsidR="005F5D2F" w:rsidRPr="005558F7" w:rsidTr="005347ED">
        <w:trPr>
          <w:trHeight w:val="490"/>
        </w:trPr>
        <w:tc>
          <w:tcPr>
            <w:tcW w:w="568" w:type="dxa"/>
            <w:vAlign w:val="center"/>
          </w:tcPr>
          <w:p w:rsidR="005F5D2F" w:rsidRDefault="005F5D2F" w:rsidP="005F5D2F">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5F5D2F" w:rsidRDefault="005F5D2F" w:rsidP="005F5D2F">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5F5D2F" w:rsidRPr="005F5D2F" w:rsidRDefault="005F5D2F" w:rsidP="005F5D2F">
            <w:pPr>
              <w:spacing w:after="40"/>
              <w:rPr>
                <w:rFonts w:asciiTheme="majorHAnsi" w:eastAsia="Times New Roman" w:hAnsiTheme="majorHAnsi" w:cs="Tahoma"/>
                <w:color w:val="FF0000"/>
                <w:sz w:val="16"/>
                <w:szCs w:val="16"/>
                <w:lang w:eastAsia="tr-TR"/>
              </w:rPr>
            </w:pPr>
            <w:r w:rsidRPr="005F5D2F">
              <w:rPr>
                <w:rFonts w:asciiTheme="majorHAnsi" w:eastAsia="Times New Roman" w:hAnsiTheme="majorHAnsi" w:cs="Tahoma"/>
                <w:b/>
                <w:color w:val="FF0000"/>
                <w:sz w:val="16"/>
                <w:szCs w:val="16"/>
                <w:lang w:eastAsia="tr-TR"/>
              </w:rPr>
              <w:t>A1 :</w:t>
            </w:r>
            <w:r w:rsidRPr="005F5D2F">
              <w:rPr>
                <w:rFonts w:asciiTheme="majorHAnsi" w:eastAsia="Times New Roman" w:hAnsiTheme="majorHAnsi" w:cs="Tahoma"/>
                <w:color w:val="FF0000"/>
                <w:sz w:val="16"/>
                <w:szCs w:val="16"/>
                <w:lang w:eastAsia="tr-TR"/>
              </w:rPr>
              <w:t xml:space="preserve"> Teorik  24</w:t>
            </w:r>
          </w:p>
          <w:p w:rsidR="005F5D2F" w:rsidRDefault="005F5D2F" w:rsidP="005F5D2F">
            <w:pPr>
              <w:spacing w:after="40"/>
              <w:rPr>
                <w:rFonts w:asciiTheme="majorHAnsi" w:eastAsia="Times New Roman" w:hAnsiTheme="majorHAnsi" w:cs="Tahoma"/>
                <w:i/>
                <w:color w:val="FF0000"/>
                <w:sz w:val="16"/>
                <w:szCs w:val="16"/>
                <w:lang w:eastAsia="tr-TR"/>
              </w:rPr>
            </w:pPr>
            <w:r w:rsidRPr="005F5D2F">
              <w:rPr>
                <w:rFonts w:asciiTheme="majorHAnsi" w:eastAsia="Times New Roman" w:hAnsiTheme="majorHAnsi" w:cs="Tahoma"/>
                <w:b/>
                <w:color w:val="FF0000"/>
                <w:sz w:val="16"/>
                <w:szCs w:val="16"/>
                <w:lang w:eastAsia="tr-TR"/>
              </w:rPr>
              <w:t>A2 :</w:t>
            </w:r>
            <w:r w:rsidRPr="005F5D2F">
              <w:rPr>
                <w:rFonts w:asciiTheme="majorHAnsi" w:eastAsia="Times New Roman" w:hAnsiTheme="majorHAnsi" w:cs="Tahoma"/>
                <w:color w:val="FF0000"/>
                <w:sz w:val="16"/>
                <w:szCs w:val="16"/>
                <w:lang w:eastAsia="tr-TR"/>
              </w:rPr>
              <w:t xml:space="preserve"> Teorik 60, Performans 60 dk.</w:t>
            </w:r>
            <w:r>
              <w:rPr>
                <w:rFonts w:asciiTheme="majorHAnsi" w:eastAsia="Times New Roman" w:hAnsiTheme="majorHAnsi" w:cs="Tahoma"/>
                <w:i/>
                <w:color w:val="FF0000"/>
                <w:sz w:val="16"/>
                <w:szCs w:val="16"/>
                <w:lang w:eastAsia="tr-TR"/>
              </w:rPr>
              <w:t xml:space="preserve"> </w:t>
            </w:r>
          </w:p>
        </w:tc>
      </w:tr>
      <w:tr w:rsidR="005F5D2F" w:rsidRPr="005558F7" w:rsidTr="005347ED">
        <w:trPr>
          <w:trHeight w:val="490"/>
        </w:trPr>
        <w:tc>
          <w:tcPr>
            <w:tcW w:w="568" w:type="dxa"/>
            <w:vAlign w:val="center"/>
          </w:tcPr>
          <w:p w:rsidR="005F5D2F" w:rsidRDefault="005F5D2F" w:rsidP="005F5D2F">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5F5D2F" w:rsidRDefault="005F5D2F" w:rsidP="005F5D2F">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5F5D2F" w:rsidRPr="005F5D2F" w:rsidRDefault="005F5D2F" w:rsidP="005F5D2F">
            <w:pPr>
              <w:spacing w:after="40"/>
              <w:rPr>
                <w:rFonts w:asciiTheme="majorHAnsi" w:eastAsia="Times New Roman" w:hAnsiTheme="majorHAnsi" w:cs="Tahoma"/>
                <w:color w:val="FF0000"/>
                <w:sz w:val="16"/>
                <w:szCs w:val="16"/>
                <w:lang w:eastAsia="tr-TR"/>
              </w:rPr>
            </w:pPr>
            <w:r w:rsidRPr="005F5D2F">
              <w:rPr>
                <w:rFonts w:asciiTheme="majorHAnsi" w:eastAsia="Times New Roman" w:hAnsiTheme="majorHAnsi" w:cs="Tahoma"/>
                <w:color w:val="FF0000"/>
                <w:sz w:val="16"/>
                <w:szCs w:val="16"/>
                <w:lang w:eastAsia="tr-TR"/>
              </w:rPr>
              <w:t xml:space="preserve">12UY0069-3 / A1 İş Sağlığı ve Güvenliği, Çevre Koruma </w:t>
            </w:r>
          </w:p>
          <w:p w:rsidR="005F5D2F" w:rsidRDefault="005F5D2F" w:rsidP="005F5D2F">
            <w:pPr>
              <w:spacing w:after="40"/>
              <w:rPr>
                <w:rFonts w:asciiTheme="majorHAnsi" w:eastAsia="Times New Roman" w:hAnsiTheme="majorHAnsi" w:cs="Tahoma"/>
                <w:i/>
                <w:color w:val="FF0000"/>
                <w:sz w:val="16"/>
                <w:szCs w:val="16"/>
                <w:lang w:eastAsia="tr-TR"/>
              </w:rPr>
            </w:pPr>
            <w:r w:rsidRPr="005F5D2F">
              <w:rPr>
                <w:rFonts w:asciiTheme="majorHAnsi" w:eastAsia="Times New Roman" w:hAnsiTheme="majorHAnsi" w:cs="Tahoma"/>
                <w:color w:val="FF0000"/>
                <w:sz w:val="16"/>
                <w:szCs w:val="16"/>
                <w:lang w:eastAsia="tr-TR"/>
              </w:rPr>
              <w:t>12UY0069-3 / A2 Plastik Enjeksiyon Üretim İşlemleri</w:t>
            </w:r>
          </w:p>
        </w:tc>
      </w:tr>
      <w:tr w:rsidR="00115705" w:rsidRPr="005558F7" w:rsidTr="00D927A9">
        <w:trPr>
          <w:trHeight w:val="567"/>
        </w:trPr>
        <w:tc>
          <w:tcPr>
            <w:tcW w:w="568" w:type="dxa"/>
            <w:vAlign w:val="center"/>
          </w:tcPr>
          <w:p w:rsidR="00115705" w:rsidRPr="00E03868" w:rsidRDefault="00115705" w:rsidP="005F5D2F">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5F5D2F">
              <w:rPr>
                <w:rFonts w:eastAsia="Times New Roman"/>
                <w:i w:val="0"/>
                <w:sz w:val="16"/>
                <w:szCs w:val="16"/>
                <w:lang w:eastAsia="tr-TR"/>
              </w:rPr>
              <w:t>4</w:t>
            </w:r>
          </w:p>
        </w:tc>
        <w:tc>
          <w:tcPr>
            <w:tcW w:w="2694" w:type="dxa"/>
            <w:vAlign w:val="center"/>
          </w:tcPr>
          <w:p w:rsidR="008269D5" w:rsidRDefault="008269D5" w:rsidP="00774DB9">
            <w:pPr>
              <w:pStyle w:val="Balk4"/>
              <w:spacing w:before="0" w:after="40"/>
              <w:outlineLvl w:val="3"/>
              <w:rPr>
                <w:rFonts w:eastAsia="Times New Roman"/>
                <w:i w:val="0"/>
                <w:sz w:val="16"/>
                <w:szCs w:val="16"/>
                <w:lang w:eastAsia="tr-TR"/>
              </w:rPr>
            </w:pPr>
          </w:p>
          <w:p w:rsidR="008269D5" w:rsidRDefault="008269D5" w:rsidP="00774DB9">
            <w:pPr>
              <w:pStyle w:val="Balk4"/>
              <w:spacing w:before="0" w:after="40"/>
              <w:outlineLvl w:val="3"/>
              <w:rPr>
                <w:rFonts w:eastAsia="Times New Roman"/>
                <w:i w:val="0"/>
                <w:sz w:val="16"/>
                <w:szCs w:val="16"/>
                <w:lang w:eastAsia="tr-TR"/>
              </w:rPr>
            </w:pPr>
          </w:p>
          <w:p w:rsidR="008269D5" w:rsidRDefault="008269D5" w:rsidP="00774DB9">
            <w:pPr>
              <w:pStyle w:val="Balk4"/>
              <w:spacing w:before="0" w:after="40"/>
              <w:outlineLvl w:val="3"/>
              <w:rPr>
                <w:rFonts w:eastAsia="Times New Roman"/>
                <w:i w:val="0"/>
                <w:sz w:val="16"/>
                <w:szCs w:val="16"/>
                <w:lang w:eastAsia="tr-TR"/>
              </w:rPr>
            </w:pPr>
          </w:p>
          <w:p w:rsidR="00D927A9"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p w:rsidR="00D927A9" w:rsidRDefault="00D927A9" w:rsidP="00D927A9">
            <w:pPr>
              <w:rPr>
                <w:lang w:eastAsia="tr-TR"/>
              </w:rPr>
            </w:pPr>
            <w:bookmarkStart w:id="0" w:name="_GoBack"/>
            <w:bookmarkEnd w:id="0"/>
          </w:p>
          <w:p w:rsidR="00115705" w:rsidRPr="00D927A9" w:rsidRDefault="00115705" w:rsidP="00D927A9">
            <w:pPr>
              <w:rPr>
                <w:lang w:eastAsia="tr-TR"/>
              </w:rPr>
            </w:pPr>
          </w:p>
        </w:tc>
        <w:tc>
          <w:tcPr>
            <w:tcW w:w="7511" w:type="dxa"/>
            <w:vAlign w:val="center"/>
          </w:tcPr>
          <w:p w:rsidR="008269D5" w:rsidRPr="008269D5" w:rsidRDefault="008269D5" w:rsidP="008269D5">
            <w:pPr>
              <w:pStyle w:val="Default"/>
              <w:rPr>
                <w:rFonts w:asciiTheme="majorHAnsi" w:eastAsia="Times New Roman" w:hAnsiTheme="majorHAnsi" w:cs="Tahoma"/>
                <w:color w:val="FF0000"/>
                <w:sz w:val="16"/>
                <w:szCs w:val="16"/>
                <w:lang w:eastAsia="tr-TR"/>
              </w:rPr>
            </w:pPr>
            <w:r w:rsidRPr="008269D5">
              <w:rPr>
                <w:rFonts w:asciiTheme="majorHAnsi" w:eastAsia="Times New Roman" w:hAnsiTheme="majorHAnsi" w:cs="Tahoma"/>
                <w:color w:val="FF0000"/>
                <w:sz w:val="16"/>
                <w:szCs w:val="16"/>
                <w:lang w:eastAsia="tr-TR"/>
              </w:rPr>
              <w:t xml:space="preserve">5 yıllık geçerlilik süresinin sonunda belge sahibinin performansı, aşağıda tanımlanan yöntemlerden en az biri kullanılarak değerlendirmeye tabi tutulur; </w:t>
            </w:r>
          </w:p>
          <w:p w:rsidR="00D4680E" w:rsidRPr="00D5151C" w:rsidRDefault="008269D5" w:rsidP="008269D5">
            <w:pPr>
              <w:pStyle w:val="Default"/>
              <w:rPr>
                <w:rFonts w:asciiTheme="majorHAnsi" w:eastAsia="Times New Roman" w:hAnsiTheme="majorHAnsi" w:cs="Tahoma"/>
                <w:color w:val="auto"/>
                <w:sz w:val="16"/>
                <w:szCs w:val="16"/>
                <w:lang w:eastAsia="tr-TR"/>
              </w:rPr>
            </w:pPr>
            <w:r w:rsidRPr="008269D5">
              <w:rPr>
                <w:rFonts w:asciiTheme="majorHAnsi" w:eastAsia="Times New Roman" w:hAnsiTheme="majorHAnsi" w:cs="Tahoma"/>
                <w:color w:val="FF0000"/>
                <w:sz w:val="16"/>
                <w:szCs w:val="16"/>
                <w:lang w:eastAsia="tr-TR"/>
              </w:rPr>
              <w:t>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w:t>
            </w:r>
            <w:r w:rsidRPr="008269D5">
              <w:rPr>
                <w:rFonts w:asciiTheme="majorHAnsi" w:eastAsia="Times New Roman" w:hAnsiTheme="majorHAnsi" w:cs="Tahoma"/>
                <w:color w:val="FF0000"/>
                <w:sz w:val="16"/>
                <w:szCs w:val="16"/>
                <w:lang w:eastAsia="tr-TR"/>
              </w:rPr>
              <w:t xml:space="preserve"> </w:t>
            </w:r>
            <w:r w:rsidRPr="008269D5">
              <w:rPr>
                <w:rFonts w:asciiTheme="majorHAnsi" w:eastAsia="Times New Roman" w:hAnsiTheme="majorHAnsi" w:cs="Tahoma"/>
                <w:color w:val="FF0000"/>
                <w:sz w:val="16"/>
                <w:szCs w:val="16"/>
                <w:lang w:eastAsia="tr-TR"/>
              </w:rPr>
              <w:t>geçerlilik süreleri 5 yıl daha uzatılır.</w:t>
            </w:r>
            <w:r>
              <w:t xml:space="preserve"> </w:t>
            </w:r>
            <w:r w:rsidR="005A3A89" w:rsidRPr="005A3A89">
              <w:rPr>
                <w:rFonts w:asciiTheme="majorHAnsi" w:eastAsia="Times New Roman" w:hAnsiTheme="majorHAnsi" w:cs="Tahoma"/>
                <w:color w:val="auto"/>
                <w:sz w:val="16"/>
                <w:szCs w:val="16"/>
                <w:lang w:eastAsia="tr-TR"/>
              </w:rPr>
              <w:t xml:space="preserve"> </w:t>
            </w:r>
          </w:p>
        </w:tc>
      </w:tr>
      <w:tr w:rsidR="00374977" w:rsidRPr="005558F7" w:rsidTr="00D927A9">
        <w:trPr>
          <w:trHeight w:val="695"/>
        </w:trPr>
        <w:tc>
          <w:tcPr>
            <w:tcW w:w="568" w:type="dxa"/>
            <w:vAlign w:val="center"/>
          </w:tcPr>
          <w:p w:rsidR="00374977" w:rsidRPr="00E03868" w:rsidRDefault="00374977" w:rsidP="005F5D2F">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5F5D2F">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D927A9">
        <w:trPr>
          <w:trHeight w:val="1107"/>
        </w:trPr>
        <w:tc>
          <w:tcPr>
            <w:tcW w:w="568" w:type="dxa"/>
            <w:vAlign w:val="center"/>
          </w:tcPr>
          <w:p w:rsidR="00374977" w:rsidRPr="00E03868" w:rsidRDefault="00374977" w:rsidP="005F5D2F">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w:t>
            </w:r>
            <w:r w:rsidR="005F5D2F">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5F5D2F">
        <w:trPr>
          <w:trHeight w:val="1342"/>
        </w:trPr>
        <w:tc>
          <w:tcPr>
            <w:tcW w:w="568" w:type="dxa"/>
            <w:vAlign w:val="center"/>
          </w:tcPr>
          <w:p w:rsidR="00374977" w:rsidRDefault="00374977" w:rsidP="005F5D2F">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5F5D2F">
              <w:rPr>
                <w:rFonts w:eastAsia="Times New Roman"/>
                <w:i w:val="0"/>
                <w:sz w:val="16"/>
                <w:szCs w:val="16"/>
                <w:lang w:eastAsia="tr-TR"/>
              </w:rPr>
              <w:t>7</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5F5D2F">
        <w:trPr>
          <w:trHeight w:val="528"/>
        </w:trPr>
        <w:tc>
          <w:tcPr>
            <w:tcW w:w="568" w:type="dxa"/>
            <w:vAlign w:val="center"/>
          </w:tcPr>
          <w:p w:rsidR="00374977" w:rsidRPr="00E03868" w:rsidRDefault="00374977" w:rsidP="005F5D2F">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5F5D2F">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5F5D2F">
        <w:trPr>
          <w:trHeight w:val="434"/>
        </w:trPr>
        <w:tc>
          <w:tcPr>
            <w:tcW w:w="568" w:type="dxa"/>
            <w:tcBorders>
              <w:bottom w:val="single" w:sz="4" w:space="0" w:color="1F497D" w:themeColor="text2"/>
            </w:tcBorders>
            <w:vAlign w:val="center"/>
          </w:tcPr>
          <w:p w:rsidR="00374977" w:rsidRPr="00E03868" w:rsidRDefault="00374977" w:rsidP="005F5D2F">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5F5D2F">
              <w:rPr>
                <w:rFonts w:eastAsia="Times New Roman"/>
                <w:i w:val="0"/>
                <w:sz w:val="16"/>
                <w:szCs w:val="16"/>
                <w:lang w:eastAsia="tr-TR"/>
              </w:rPr>
              <w:t>9</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3E7E3D" w:rsidRPr="003E7E3D" w:rsidTr="00D927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D927A9" w:rsidRPr="003E7E3D" w:rsidRDefault="005F5D2F">
            <w:pPr>
              <w:pStyle w:val="Balk4"/>
              <w:spacing w:before="0" w:after="40"/>
              <w:outlineLvl w:val="3"/>
              <w:rPr>
                <w:rFonts w:eastAsia="Times New Roman"/>
                <w:color w:val="auto"/>
                <w:sz w:val="16"/>
                <w:szCs w:val="16"/>
                <w:lang w:eastAsia="tr-TR"/>
              </w:rPr>
            </w:pPr>
            <w:r>
              <w:rPr>
                <w:rFonts w:eastAsia="Times New Roman"/>
                <w:color w:val="auto"/>
                <w:sz w:val="16"/>
                <w:szCs w:val="16"/>
                <w:lang w:eastAsia="tr-TR"/>
              </w:rPr>
              <w:t>30</w:t>
            </w:r>
          </w:p>
        </w:tc>
        <w:tc>
          <w:tcPr>
            <w:tcW w:w="2694" w:type="dxa"/>
            <w:hideMark/>
          </w:tcPr>
          <w:p w:rsidR="00D927A9" w:rsidRPr="003E7E3D" w:rsidRDefault="00D927A9">
            <w:pPr>
              <w:pStyle w:val="Balk4"/>
              <w:spacing w:before="0" w:after="40"/>
              <w:outlineLvl w:val="3"/>
              <w:rPr>
                <w:rFonts w:eastAsia="Times New Roman"/>
                <w:color w:val="auto"/>
                <w:sz w:val="16"/>
                <w:szCs w:val="16"/>
                <w:lang w:eastAsia="tr-TR"/>
              </w:rPr>
            </w:pPr>
            <w:r w:rsidRPr="003E7E3D">
              <w:rPr>
                <w:rFonts w:eastAsia="Times New Roman"/>
                <w:color w:val="auto"/>
                <w:sz w:val="16"/>
                <w:szCs w:val="16"/>
                <w:lang w:eastAsia="tr-TR"/>
              </w:rPr>
              <w:t>Uyarı ve Bilgilendirme</w:t>
            </w:r>
          </w:p>
        </w:tc>
        <w:tc>
          <w:tcPr>
            <w:tcW w:w="7511" w:type="dxa"/>
            <w:hideMark/>
          </w:tcPr>
          <w:p w:rsidR="00D927A9" w:rsidRPr="003E7E3D" w:rsidRDefault="00D927A9">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D927A9" w:rsidRPr="003E7E3D" w:rsidTr="00D927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D927A9" w:rsidRPr="003E7E3D" w:rsidRDefault="005F5D2F">
            <w:pPr>
              <w:pStyle w:val="Balk4"/>
              <w:spacing w:before="0" w:after="40"/>
              <w:outlineLvl w:val="3"/>
              <w:rPr>
                <w:rFonts w:eastAsia="Times New Roman"/>
                <w:color w:val="auto"/>
                <w:sz w:val="16"/>
                <w:szCs w:val="16"/>
                <w:lang w:eastAsia="tr-TR"/>
              </w:rPr>
            </w:pPr>
            <w:r>
              <w:rPr>
                <w:rFonts w:eastAsia="Times New Roman"/>
                <w:color w:val="auto"/>
                <w:sz w:val="16"/>
                <w:szCs w:val="16"/>
                <w:lang w:eastAsia="tr-TR"/>
              </w:rPr>
              <w:t>31</w:t>
            </w:r>
          </w:p>
        </w:tc>
        <w:tc>
          <w:tcPr>
            <w:tcW w:w="2694" w:type="dxa"/>
            <w:hideMark/>
          </w:tcPr>
          <w:p w:rsidR="00D927A9" w:rsidRPr="003E7E3D" w:rsidRDefault="00D927A9">
            <w:pPr>
              <w:pStyle w:val="Balk4"/>
              <w:spacing w:before="0" w:after="40"/>
              <w:outlineLvl w:val="3"/>
              <w:rPr>
                <w:rFonts w:eastAsia="Times New Roman"/>
                <w:color w:val="auto"/>
                <w:sz w:val="16"/>
                <w:szCs w:val="16"/>
                <w:lang w:eastAsia="tr-TR"/>
              </w:rPr>
            </w:pPr>
            <w:r w:rsidRPr="003E7E3D">
              <w:rPr>
                <w:rFonts w:eastAsia="Times New Roman"/>
                <w:color w:val="auto"/>
                <w:sz w:val="16"/>
                <w:szCs w:val="16"/>
                <w:lang w:eastAsia="tr-TR"/>
              </w:rPr>
              <w:t>Tavsiye Edilen Eğitim</w:t>
            </w:r>
          </w:p>
        </w:tc>
        <w:tc>
          <w:tcPr>
            <w:tcW w:w="7511" w:type="dxa"/>
          </w:tcPr>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EK A1-1: Yeterlilik Biriminin Kazandırılması için Tavsiye Edilen Eğitime İlişkin Bilgiler</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Eğitim İçeriği: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 Meslekle ilgili temel kavramlar, kodlar, terimler</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2. Meslekle ilgili ham madde, ürün, makine, alet ve donanım hakkında bilgi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3. Mesleğin uygulandığı çalışma koşulları ve İş Kanunu hakkında temel bilgi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 İş Sağlığı ve Güvenliği Mevzuatı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4.1. İş sağlığı ve güvenliği talimatları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4.2. Kimyasallarla güvenli çalışma ve malzeme güvenlik bilgi formları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4.3. Kaza önleme talimatları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4.4. Kişisel koruyucu donanımlar</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4.5. Muhtelif makinelerdeki koruma önlemleri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4.6. Kaza durumundaki davranış ve ilk yardım bilgisi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4.7. Elektrik akımının tehlikeleri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4.8. Üretimin çevre için oluşturduğu tehlikeler</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5. Acil durum</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 Çevreye duyarlı olmak ve korumak</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6.1. Çevre ve İnsan Sağlığı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6.2. Çevre Kirliliği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6.3. Atık Yönetimi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6.4. Geri kazanım /geri dönüşüm</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6.5. Plastik sektörünün yol açtığı çevre sorunları</w:t>
            </w:r>
          </w:p>
          <w:p w:rsidR="00D927A9"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6.6. Doğal kaynakların verimli kullanımı</w:t>
            </w:r>
          </w:p>
          <w:p w:rsidR="00A43814" w:rsidRPr="003E7E3D" w:rsidRDefault="00A43814" w:rsidP="00A43814">
            <w:pPr>
              <w:spacing w:after="40"/>
              <w:rPr>
                <w:rFonts w:asciiTheme="majorHAnsi" w:eastAsia="Times New Roman" w:hAnsiTheme="majorHAnsi" w:cs="Tahoma"/>
                <w:i/>
                <w:sz w:val="16"/>
                <w:szCs w:val="16"/>
                <w:lang w:eastAsia="tr-TR"/>
              </w:rPr>
            </w:pP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EK A2-1: Yeterlilik Biriminin Kazandırılması İçin Tavsiye Edilen Eğitime İlişkin Bilgiler</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Eğitim İçeriği: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 Toplam kalite yönetimi temel ilkeleri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2. Kalite yönetim sistemi temel kavramlar ve tanımlar</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3. Kalite yönetim sisteminde dokümantasyon ve raporlama</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4. Kalite güvencede kullanılan elektronik ve mekanik ölçüm araçları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5. Marka, tanıtım ve kalite işaretinin reklam ve bilgi değeri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6. Proses kalitesi, hata ve arıza engelleme temel bilgi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7. Plastik malzeme bilgisi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8. Plastik teknoloji bilgisi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9. Enjeksiyon makineleri ve kalıpları</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10. Enjeksiyon makinelerinde kalıp bağlama</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11. Enjeksiyonda ham madde hazırlama</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12. Enjeksiyon makinesinin ayarlarını yapma</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13. Enjeksiyon makinesini devreye alma</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14. Enjeksiyon makinelerini kapatma ve temizleme</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15. Ürün hataları ve giderilmesi</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16. Enjeksiyon kalıplarında bakım ve onarım</w:t>
            </w:r>
          </w:p>
          <w:p w:rsidR="00A43814" w:rsidRPr="003E7E3D" w:rsidRDefault="00A43814" w:rsidP="00A43814">
            <w:pPr>
              <w:spacing w:after="40"/>
              <w:rPr>
                <w:rFonts w:asciiTheme="majorHAnsi" w:eastAsia="Times New Roman" w:hAnsiTheme="majorHAnsi" w:cs="Tahoma"/>
                <w:i/>
                <w:sz w:val="16"/>
                <w:szCs w:val="16"/>
                <w:lang w:eastAsia="tr-TR"/>
              </w:rPr>
            </w:pPr>
            <w:r w:rsidRPr="003E7E3D">
              <w:rPr>
                <w:rFonts w:asciiTheme="majorHAnsi" w:eastAsia="Times New Roman" w:hAnsiTheme="majorHAnsi" w:cs="Tahoma"/>
                <w:i/>
                <w:sz w:val="16"/>
                <w:szCs w:val="16"/>
                <w:lang w:eastAsia="tr-TR"/>
              </w:rPr>
              <w:t>17. Plastik makinelerinde bakım ve onarım</w:t>
            </w:r>
          </w:p>
        </w:tc>
      </w:tr>
    </w:tbl>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rsidP="0080317F">
      <w:pPr>
        <w:shd w:val="clear" w:color="auto" w:fill="FFFFFF"/>
        <w:spacing w:after="0" w:line="240" w:lineRule="auto"/>
        <w:rPr>
          <w:rFonts w:ascii="Tahoma" w:eastAsia="Times New Roman" w:hAnsi="Tahoma" w:cs="Tahoma"/>
          <w:vanish/>
          <w:sz w:val="16"/>
          <w:szCs w:val="16"/>
          <w:lang w:eastAsia="tr-TR"/>
        </w:rPr>
      </w:pPr>
    </w:p>
    <w:p w:rsidR="0080317F" w:rsidRPr="003E7E3D" w:rsidRDefault="0080317F">
      <w:pPr>
        <w:rPr>
          <w:rFonts w:ascii="Tahoma" w:hAnsi="Tahoma" w:cs="Tahoma"/>
          <w:sz w:val="16"/>
          <w:szCs w:val="16"/>
        </w:rPr>
      </w:pPr>
    </w:p>
    <w:sectPr w:rsidR="0080317F" w:rsidRPr="003E7E3D"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6F" w:rsidRDefault="0056326F" w:rsidP="00D57DA4">
      <w:pPr>
        <w:spacing w:after="0" w:line="240" w:lineRule="auto"/>
      </w:pPr>
      <w:r>
        <w:separator/>
      </w:r>
    </w:p>
  </w:endnote>
  <w:endnote w:type="continuationSeparator" w:id="0">
    <w:p w:rsidR="0056326F" w:rsidRDefault="0056326F"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D5151C">
      <w:rPr>
        <w:rFonts w:ascii="Tahoma" w:hAnsi="Tahoma" w:cs="Tahoma"/>
        <w:sz w:val="20"/>
        <w:szCs w:val="20"/>
      </w:rPr>
      <w:t>8</w:t>
    </w:r>
    <w:r w:rsidR="00115705">
      <w:rPr>
        <w:rFonts w:ascii="Tahoma" w:hAnsi="Tahoma" w:cs="Tahoma"/>
        <w:sz w:val="20"/>
        <w:szCs w:val="20"/>
      </w:rPr>
      <w:t>_REV0</w:t>
    </w:r>
    <w:r w:rsidR="00A14797">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A14797">
      <w:rPr>
        <w:rFonts w:ascii="Tahoma" w:hAnsi="Tahoma" w:cs="Tahoma"/>
        <w:sz w:val="20"/>
        <w:szCs w:val="20"/>
      </w:rPr>
      <w:t>24.05.2022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8269D5">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8269D5">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6F" w:rsidRDefault="0056326F" w:rsidP="00D57DA4">
      <w:pPr>
        <w:spacing w:after="0" w:line="240" w:lineRule="auto"/>
      </w:pPr>
      <w:r>
        <w:separator/>
      </w:r>
    </w:p>
  </w:footnote>
  <w:footnote w:type="continuationSeparator" w:id="0">
    <w:p w:rsidR="0056326F" w:rsidRDefault="0056326F"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9776" behindDoc="0" locked="0" layoutInCell="1" allowOverlap="1" wp14:anchorId="128879FA" wp14:editId="18BC1BC7">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5A3A89" w:rsidP="009D4866">
    <w:pPr>
      <w:pStyle w:val="KonuBal"/>
      <w:jc w:val="right"/>
      <w:rPr>
        <w:sz w:val="28"/>
        <w:szCs w:val="36"/>
      </w:rPr>
    </w:pPr>
    <w:r w:rsidRPr="005A3A89">
      <w:rPr>
        <w:sz w:val="28"/>
        <w:szCs w:val="36"/>
      </w:rPr>
      <w:t xml:space="preserve">PLASTİK ENJEKSİYON ÜRETİM ELEMANI </w:t>
    </w:r>
    <w:r w:rsidR="00484D0A" w:rsidRPr="00484D0A">
      <w:rPr>
        <w:sz w:val="28"/>
        <w:szCs w:val="36"/>
      </w:rPr>
      <w:t xml:space="preserve">– SEVİYE </w:t>
    </w:r>
    <w:r w:rsidR="002069D8">
      <w:rPr>
        <w:sz w:val="28"/>
        <w:szCs w:val="36"/>
      </w:rPr>
      <w:t>3</w:t>
    </w:r>
    <w:r w:rsidR="002F7056">
      <w:rPr>
        <w:sz w:val="28"/>
        <w:szCs w:val="36"/>
      </w:rPr>
      <w:t xml:space="preserve"> – REV0</w:t>
    </w:r>
    <w:r>
      <w:rPr>
        <w:sz w:val="28"/>
        <w:szCs w:val="36"/>
      </w:rPr>
      <w:t>2</w:t>
    </w:r>
  </w:p>
  <w:p w:rsidR="00D57DA4" w:rsidRPr="00DA6325" w:rsidRDefault="00BA315C" w:rsidP="001228B2">
    <w:pPr>
      <w:pStyle w:val="KonuBal"/>
      <w:jc w:val="right"/>
      <w:rPr>
        <w:color w:val="FF0000"/>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3E7E3D" w:rsidRPr="003E7E3D">
      <w:rPr>
        <w:color w:val="FF0000"/>
        <w:sz w:val="28"/>
        <w:szCs w:val="36"/>
      </w:rPr>
      <w:t>TADİL NO-01</w:t>
    </w:r>
    <w:r w:rsidR="006D5EB9" w:rsidRPr="003E7E3D">
      <w:rPr>
        <w:color w:val="FF0000"/>
        <w:sz w:val="28"/>
        <w:szCs w:val="36"/>
      </w:rPr>
      <w:t xml:space="preserve"> </w:t>
    </w:r>
    <w:r w:rsidR="00D57DA4" w:rsidRPr="002F7056">
      <w:rPr>
        <w:sz w:val="28"/>
        <w:szCs w:val="36"/>
      </w:rPr>
      <w:t xml:space="preserve">BELGELENDİRME </w:t>
    </w:r>
    <w:r w:rsidR="00DA6325" w:rsidRPr="00DA6325">
      <w:rPr>
        <w:color w:val="FF0000"/>
        <w:sz w:val="28"/>
        <w:szCs w:val="36"/>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F30DD0"/>
    <w:multiLevelType w:val="hybridMultilevel"/>
    <w:tmpl w:val="71CE5D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9"/>
  </w:num>
  <w:num w:numId="6">
    <w:abstractNumId w:val="4"/>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069D8"/>
    <w:rsid w:val="00234BAB"/>
    <w:rsid w:val="002350BA"/>
    <w:rsid w:val="00240B85"/>
    <w:rsid w:val="00242321"/>
    <w:rsid w:val="00254F57"/>
    <w:rsid w:val="002769FE"/>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540E"/>
    <w:rsid w:val="003E560A"/>
    <w:rsid w:val="003E7E3D"/>
    <w:rsid w:val="003F316C"/>
    <w:rsid w:val="00423D74"/>
    <w:rsid w:val="004418D5"/>
    <w:rsid w:val="00456D82"/>
    <w:rsid w:val="00465EBA"/>
    <w:rsid w:val="00473DAC"/>
    <w:rsid w:val="004757F4"/>
    <w:rsid w:val="0047791D"/>
    <w:rsid w:val="004827BF"/>
    <w:rsid w:val="00484D0A"/>
    <w:rsid w:val="00496F9F"/>
    <w:rsid w:val="004B4CE2"/>
    <w:rsid w:val="004C0DF7"/>
    <w:rsid w:val="004C3B3A"/>
    <w:rsid w:val="004D4093"/>
    <w:rsid w:val="004F0A84"/>
    <w:rsid w:val="004F0CD7"/>
    <w:rsid w:val="004F7767"/>
    <w:rsid w:val="00501B72"/>
    <w:rsid w:val="0053107B"/>
    <w:rsid w:val="005347ED"/>
    <w:rsid w:val="005558F7"/>
    <w:rsid w:val="0056326F"/>
    <w:rsid w:val="0057348F"/>
    <w:rsid w:val="00574260"/>
    <w:rsid w:val="00575065"/>
    <w:rsid w:val="005908FE"/>
    <w:rsid w:val="005A3A89"/>
    <w:rsid w:val="005E5722"/>
    <w:rsid w:val="005F28E3"/>
    <w:rsid w:val="005F3B9D"/>
    <w:rsid w:val="005F5D2F"/>
    <w:rsid w:val="006817B0"/>
    <w:rsid w:val="006B0260"/>
    <w:rsid w:val="006C4F10"/>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33BB"/>
    <w:rsid w:val="007F4368"/>
    <w:rsid w:val="007F687F"/>
    <w:rsid w:val="0080317F"/>
    <w:rsid w:val="00816103"/>
    <w:rsid w:val="008269D5"/>
    <w:rsid w:val="00873285"/>
    <w:rsid w:val="0089502A"/>
    <w:rsid w:val="008A4CFE"/>
    <w:rsid w:val="00940B74"/>
    <w:rsid w:val="009928C4"/>
    <w:rsid w:val="00992B6E"/>
    <w:rsid w:val="009B079D"/>
    <w:rsid w:val="009C04F6"/>
    <w:rsid w:val="009C6B13"/>
    <w:rsid w:val="009C6DC9"/>
    <w:rsid w:val="009D4866"/>
    <w:rsid w:val="00A14797"/>
    <w:rsid w:val="00A23A0E"/>
    <w:rsid w:val="00A32E97"/>
    <w:rsid w:val="00A3449B"/>
    <w:rsid w:val="00A43814"/>
    <w:rsid w:val="00A45602"/>
    <w:rsid w:val="00A47A00"/>
    <w:rsid w:val="00AA7CF3"/>
    <w:rsid w:val="00AD168C"/>
    <w:rsid w:val="00AE6532"/>
    <w:rsid w:val="00B05269"/>
    <w:rsid w:val="00B12E6A"/>
    <w:rsid w:val="00B91025"/>
    <w:rsid w:val="00BA315C"/>
    <w:rsid w:val="00BE0E6D"/>
    <w:rsid w:val="00C111BF"/>
    <w:rsid w:val="00C21850"/>
    <w:rsid w:val="00C40AC1"/>
    <w:rsid w:val="00C47E01"/>
    <w:rsid w:val="00C74147"/>
    <w:rsid w:val="00C74320"/>
    <w:rsid w:val="00C76032"/>
    <w:rsid w:val="00C87F6B"/>
    <w:rsid w:val="00C9496B"/>
    <w:rsid w:val="00CA6698"/>
    <w:rsid w:val="00D1675C"/>
    <w:rsid w:val="00D2638B"/>
    <w:rsid w:val="00D43849"/>
    <w:rsid w:val="00D441C4"/>
    <w:rsid w:val="00D4680E"/>
    <w:rsid w:val="00D46A74"/>
    <w:rsid w:val="00D46C87"/>
    <w:rsid w:val="00D5151C"/>
    <w:rsid w:val="00D57DA4"/>
    <w:rsid w:val="00D60500"/>
    <w:rsid w:val="00D60739"/>
    <w:rsid w:val="00D7147C"/>
    <w:rsid w:val="00D71FA4"/>
    <w:rsid w:val="00D84EA3"/>
    <w:rsid w:val="00D927A9"/>
    <w:rsid w:val="00DA6325"/>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1DF3"/>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324E0"/>
  <w15:docId w15:val="{63F513EF-96A9-46A4-B027-C80E0ADE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546790114">
      <w:bodyDiv w:val="1"/>
      <w:marLeft w:val="0"/>
      <w:marRight w:val="0"/>
      <w:marTop w:val="0"/>
      <w:marBottom w:val="0"/>
      <w:divBdr>
        <w:top w:val="none" w:sz="0" w:space="0" w:color="auto"/>
        <w:left w:val="none" w:sz="0" w:space="0" w:color="auto"/>
        <w:bottom w:val="none" w:sz="0" w:space="0" w:color="auto"/>
        <w:right w:val="none" w:sz="0" w:space="0" w:color="auto"/>
      </w:divBdr>
    </w:div>
    <w:div w:id="1716470506">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1188</Words>
  <Characters>6777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175</cp:revision>
  <cp:lastPrinted>2019-11-02T10:24:00Z</cp:lastPrinted>
  <dcterms:created xsi:type="dcterms:W3CDTF">2016-10-31T06:38:00Z</dcterms:created>
  <dcterms:modified xsi:type="dcterms:W3CDTF">2022-05-24T13:39:00Z</dcterms:modified>
</cp:coreProperties>
</file>