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374977" w:rsidRPr="005558F7" w:rsidTr="00445445">
        <w:trPr>
          <w:trHeight w:val="30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374977" w:rsidRPr="00062B18" w:rsidRDefault="00852534" w:rsidP="003E7AD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t>1</w:t>
            </w:r>
            <w:r w:rsidR="003E7ADB">
              <w:t>2UY0081</w:t>
            </w:r>
            <w:r>
              <w:t xml:space="preserve">-3 </w:t>
            </w:r>
            <w:r w:rsidR="003E7ADB">
              <w:t>FREZECİ</w:t>
            </w:r>
          </w:p>
        </w:tc>
      </w:tr>
      <w:tr w:rsidR="00374977" w:rsidRPr="005558F7" w:rsidTr="00445445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6573FC" w:rsidRPr="006573FC" w:rsidRDefault="006573FC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573F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Bu yeterlilik Frezeci (Seviye 3) mesleğinin eğitim almış ve nitelik kazandırılmış kişiler tarafından yürütülmesi ve çalışmalarda verimliliğin artırılması için; </w:t>
            </w:r>
          </w:p>
          <w:p w:rsidR="006573FC" w:rsidRPr="006573FC" w:rsidRDefault="006573FC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573F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sym w:font="Symbol" w:char="F0B7"/>
            </w:r>
            <w:r w:rsidRPr="006573F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Adayların sahip olması gereken nitelikleri, bilgi, beceri ve yetkinlikleri tanımlamak, </w:t>
            </w:r>
          </w:p>
          <w:p w:rsidR="006573FC" w:rsidRPr="006573FC" w:rsidRDefault="006573FC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573F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sym w:font="Symbol" w:char="F0B7"/>
            </w:r>
            <w:r w:rsidRPr="006573F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Adayların, geçerli ve güvenilir bir belge ile mesleki yeterliliğini kanıtlamasına olanak vermek, </w:t>
            </w:r>
          </w:p>
          <w:p w:rsidR="00374977" w:rsidRPr="00062B18" w:rsidRDefault="006573FC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573F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sym w:font="Symbol" w:char="F0B7"/>
            </w:r>
            <w:r w:rsidRPr="006573F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Eğitim sistemine, sınav ve belgelendirme kuruluşlarına referans ve kaynak oluşturmak amacıyla hazırlanmıştır.</w:t>
            </w:r>
          </w:p>
        </w:tc>
      </w:tr>
      <w:tr w:rsidR="00374977" w:rsidRPr="005558F7" w:rsidTr="00445445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Meslek Standardı</w:t>
            </w:r>
          </w:p>
        </w:tc>
        <w:tc>
          <w:tcPr>
            <w:tcW w:w="7511" w:type="dxa"/>
          </w:tcPr>
          <w:p w:rsidR="00374977" w:rsidRPr="0053107B" w:rsidRDefault="006573FC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t>11UMS0166-3 Frezeci (Seviye 3) Ulusal Meslek Standardı</w:t>
            </w:r>
          </w:p>
        </w:tc>
      </w:tr>
      <w:tr w:rsidR="00374977" w:rsidRPr="005558F7" w:rsidTr="00445445">
        <w:trPr>
          <w:trHeight w:val="31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374977" w:rsidRPr="0053107B" w:rsidRDefault="006573FC" w:rsidP="00062B1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t>12UY0081-3 FREZECİ</w:t>
            </w:r>
          </w:p>
        </w:tc>
      </w:tr>
      <w:tr w:rsidR="00374977" w:rsidRPr="005558F7" w:rsidTr="00445445">
        <w:trPr>
          <w:trHeight w:val="133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374977" w:rsidRPr="005558F7" w:rsidTr="00445445">
        <w:trPr>
          <w:trHeight w:val="68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374977" w:rsidRPr="00062B18" w:rsidRDefault="002B0359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FRM.155 </w:t>
            </w:r>
            <w:r w:rsidR="00374977"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Personel Belgelendirme Başvuru Formunda</w:t>
            </w:r>
            <w:r w:rsidR="00374977"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="00374977"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374977" w:rsidRPr="005558F7" w:rsidTr="00445445">
        <w:trPr>
          <w:trHeight w:val="46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374977" w:rsidRPr="005558F7" w:rsidTr="00445445">
        <w:trPr>
          <w:trHeight w:val="5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374977" w:rsidRPr="005558F7" w:rsidTr="00445445">
        <w:trPr>
          <w:trHeight w:val="39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2B0359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374977" w:rsidRPr="005558F7" w:rsidTr="00445445">
        <w:trPr>
          <w:trHeight w:val="36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374977" w:rsidRPr="005558F7" w:rsidTr="00445445">
        <w:trPr>
          <w:trHeight w:val="57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2B0359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062B18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374977" w:rsidRPr="005558F7" w:rsidTr="00445445">
        <w:trPr>
          <w:trHeight w:val="27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374977" w:rsidRPr="005558F7" w:rsidTr="00445445">
        <w:trPr>
          <w:trHeight w:val="39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1C3AF9" w:rsidRDefault="006573FC" w:rsidP="00D4680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C3AF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12UY0081-3/A1: İş Sağlığı ve Güvenliği, Çevre Koruma, Kalite ile İş Organizasyonu</w:t>
            </w:r>
          </w:p>
          <w:p w:rsidR="00374977" w:rsidRPr="00D4680E" w:rsidRDefault="006573FC" w:rsidP="00D4680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C3AF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12UY0081-3/A2: Freze Uygulamaları</w:t>
            </w:r>
          </w:p>
        </w:tc>
      </w:tr>
      <w:tr w:rsidR="00374977" w:rsidRPr="005558F7" w:rsidTr="00D8563C">
        <w:trPr>
          <w:trHeight w:val="51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374977" w:rsidRPr="00D4680E" w:rsidRDefault="00852534" w:rsidP="00A32E9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t>-</w:t>
            </w:r>
          </w:p>
        </w:tc>
      </w:tr>
      <w:tr w:rsidR="00374977" w:rsidRPr="005558F7" w:rsidTr="00445445">
        <w:trPr>
          <w:trHeight w:val="51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374977" w:rsidRPr="00062B1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113E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6573FC" w:rsidRPr="006573FC" w:rsidRDefault="00D963A0" w:rsidP="006573FC">
            <w:pPr>
              <w:spacing w:after="40"/>
              <w:rPr>
                <w:rFonts w:asciiTheme="majorHAnsi" w:eastAsia="Times New Roman" w:hAnsiTheme="majorHAnsi" w:cs="Tahoma"/>
                <w:color w:val="0000FF" w:themeColor="hyperlink"/>
                <w:sz w:val="16"/>
                <w:szCs w:val="16"/>
                <w:u w:val="single"/>
                <w:lang w:eastAsia="tr-TR"/>
              </w:rPr>
            </w:pPr>
            <w:hyperlink r:id="rId9" w:history="1">
              <w:r w:rsidR="006573FC" w:rsidRPr="006573FC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12UY0081-3 FREZECİ</w:t>
              </w:r>
              <w:r w:rsidR="00D8563C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 xml:space="preserve"> </w:t>
              </w:r>
              <w:r w:rsidR="00D4680E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 xml:space="preserve"> </w:t>
              </w:r>
              <w:r w:rsidR="005F28E3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REV</w:t>
              </w:r>
              <w:r w:rsidR="002B0359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.</w:t>
              </w:r>
              <w:r w:rsidR="005F28E3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0</w:t>
              </w:r>
              <w:r w:rsidR="00852534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1</w:t>
              </w:r>
            </w:hyperlink>
          </w:p>
        </w:tc>
      </w:tr>
      <w:tr w:rsidR="00374977" w:rsidRPr="005558F7" w:rsidTr="00445445">
        <w:trPr>
          <w:trHeight w:val="701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10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062B18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374977" w:rsidRPr="005558F7" w:rsidTr="00445445">
        <w:trPr>
          <w:trHeight w:val="376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374977" w:rsidRPr="00062B18" w:rsidRDefault="00D963A0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1" w:history="1">
              <w:r w:rsidR="005908FE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www.tcscert.com</w:t>
              </w:r>
            </w:hyperlink>
            <w:r w:rsidR="005908F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374977" w:rsidRPr="005558F7" w:rsidTr="00445445">
        <w:trPr>
          <w:trHeight w:val="705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374977" w:rsidRPr="0053107B" w:rsidRDefault="00115705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374977" w:rsidRPr="005558F7" w:rsidTr="00445445">
        <w:trPr>
          <w:trHeight w:val="40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374977" w:rsidRPr="00D4680E" w:rsidRDefault="00D4680E" w:rsidP="0053107B">
            <w:pPr>
              <w:spacing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Yeterlilik belgesinin geçerlilik süresi 5 yıldır.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C3AF9" w:rsidRPr="005558F7" w:rsidTr="00445445">
        <w:trPr>
          <w:trHeight w:val="404"/>
        </w:trPr>
        <w:tc>
          <w:tcPr>
            <w:tcW w:w="568" w:type="dxa"/>
            <w:vAlign w:val="center"/>
          </w:tcPr>
          <w:p w:rsidR="001C3AF9" w:rsidRPr="001C3AF9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C3AF9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1C3AF9" w:rsidRPr="001C3AF9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C3AF9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1C3AF9" w:rsidRPr="001C3AF9" w:rsidRDefault="001C3AF9" w:rsidP="001C3AF9">
            <w:pPr>
              <w:spacing w:after="4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1C3AF9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-</w:t>
            </w:r>
          </w:p>
        </w:tc>
      </w:tr>
      <w:tr w:rsidR="001C3AF9" w:rsidRPr="005558F7" w:rsidTr="002E42AD">
        <w:trPr>
          <w:trHeight w:val="1095"/>
        </w:trPr>
        <w:tc>
          <w:tcPr>
            <w:tcW w:w="568" w:type="dxa"/>
            <w:vAlign w:val="center"/>
          </w:tcPr>
          <w:p w:rsidR="001C3AF9" w:rsidRPr="00150E7A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1C3AF9" w:rsidRPr="00150E7A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1C3AF9" w:rsidRDefault="001C3AF9" w:rsidP="001C3AF9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55509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A1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17  adet soru </w:t>
            </w:r>
          </w:p>
          <w:p w:rsidR="001C3AF9" w:rsidRDefault="001C3AF9" w:rsidP="001C3AF9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55509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 % 60</w:t>
            </w:r>
          </w:p>
          <w:p w:rsidR="001C3AF9" w:rsidRDefault="001C3AF9" w:rsidP="001C3AF9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55509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A</w:t>
            </w: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2</w:t>
            </w:r>
            <w:r w:rsidRPr="00055509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 xml:space="preserve">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25 adet soru </w:t>
            </w:r>
          </w:p>
          <w:p w:rsidR="001C3AF9" w:rsidRPr="00150E7A" w:rsidRDefault="001C3AF9" w:rsidP="000C473B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55509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 </w:t>
            </w:r>
            <w:r w:rsidR="000C473B" w:rsidRPr="000C473B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highlight w:val="green"/>
                <w:lang w:eastAsia="tr-TR"/>
              </w:rPr>
              <w:t>%60</w:t>
            </w:r>
          </w:p>
        </w:tc>
      </w:tr>
      <w:tr w:rsidR="001C3AF9" w:rsidRPr="005558F7" w:rsidTr="00445445">
        <w:trPr>
          <w:trHeight w:val="404"/>
        </w:trPr>
        <w:tc>
          <w:tcPr>
            <w:tcW w:w="568" w:type="dxa"/>
            <w:vAlign w:val="center"/>
          </w:tcPr>
          <w:p w:rsidR="001C3AF9" w:rsidRPr="00150E7A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1C3AF9" w:rsidRPr="00150E7A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ve Performans Sınav Süreleri</w:t>
            </w:r>
          </w:p>
        </w:tc>
        <w:tc>
          <w:tcPr>
            <w:tcW w:w="7511" w:type="dxa"/>
            <w:vAlign w:val="center"/>
          </w:tcPr>
          <w:p w:rsidR="001C3AF9" w:rsidRDefault="001C3AF9" w:rsidP="001C3AF9">
            <w:pPr>
              <w:spacing w:after="40"/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</w:pPr>
          </w:p>
          <w:p w:rsidR="001C3AF9" w:rsidRDefault="001C3AF9" w:rsidP="001C3AF9">
            <w:pPr>
              <w:spacing w:after="40"/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 xml:space="preserve">A1: </w:t>
            </w:r>
            <w:r w:rsidRPr="002D0E62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Teorik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26  dk.</w:t>
            </w:r>
          </w:p>
          <w:p w:rsidR="001C3AF9" w:rsidRDefault="001C3AF9" w:rsidP="001C3AF9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A2</w:t>
            </w:r>
            <w:r w:rsidRPr="002D0E62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 xml:space="preserve">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Teorik 38,  Performans 60 dk. </w:t>
            </w:r>
          </w:p>
          <w:p w:rsidR="001C3AF9" w:rsidRPr="00150E7A" w:rsidRDefault="001C3AF9" w:rsidP="001C3AF9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</w:tc>
      </w:tr>
      <w:tr w:rsidR="001C3AF9" w:rsidRPr="005558F7" w:rsidTr="00445445">
        <w:trPr>
          <w:trHeight w:val="404"/>
        </w:trPr>
        <w:tc>
          <w:tcPr>
            <w:tcW w:w="568" w:type="dxa"/>
            <w:vAlign w:val="center"/>
          </w:tcPr>
          <w:p w:rsidR="001C3AF9" w:rsidRPr="00150E7A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1C3AF9" w:rsidRPr="00150E7A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1C3AF9" w:rsidRDefault="001C3AF9" w:rsidP="001C3AF9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  <w:p w:rsidR="001C3AF9" w:rsidRDefault="001C3AF9" w:rsidP="001C3AF9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128E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12UY0081-3/A1: İş Sağlığı ve Güvenliği, Çevre Koruma, Kalite ile İş Organizasyonu </w:t>
            </w:r>
          </w:p>
          <w:p w:rsidR="001C3AF9" w:rsidRDefault="001C3AF9" w:rsidP="001C3AF9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128E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12UY0081-3/A2: Freze Uygulamaları</w:t>
            </w:r>
          </w:p>
          <w:p w:rsidR="001C3AF9" w:rsidRPr="00150E7A" w:rsidRDefault="001C3AF9" w:rsidP="001C3AF9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</w:tc>
      </w:tr>
      <w:tr w:rsidR="001C3AF9" w:rsidRPr="005558F7" w:rsidTr="001C3AF9">
        <w:trPr>
          <w:trHeight w:val="1333"/>
        </w:trPr>
        <w:tc>
          <w:tcPr>
            <w:tcW w:w="568" w:type="dxa"/>
            <w:vAlign w:val="center"/>
          </w:tcPr>
          <w:p w:rsidR="001C3AF9" w:rsidRPr="00E03868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24</w:t>
            </w:r>
          </w:p>
        </w:tc>
        <w:tc>
          <w:tcPr>
            <w:tcW w:w="2694" w:type="dxa"/>
            <w:vAlign w:val="center"/>
          </w:tcPr>
          <w:p w:rsidR="001C3AF9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</w:tc>
        <w:tc>
          <w:tcPr>
            <w:tcW w:w="7511" w:type="dxa"/>
            <w:vAlign w:val="center"/>
          </w:tcPr>
          <w:p w:rsidR="001C3AF9" w:rsidRPr="001C3AF9" w:rsidRDefault="001C3AF9" w:rsidP="001C3AF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C3AF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Beş (5) yıllık geçerlilik süresinin sonunda belge sahibinin performansı aşağıda tanımlanan yöntemlerden en az biri kullanılarak değerlendirmeye tabi tutulur; a) 5 yıl belge geçerlilik süresi içerisinde toplamda en az iki yıl veya son altı ay boyunca ilgili alanda çalıştığını gösteren kayıtları (hizmet dökümü, referans yazısı/mektubu, sözleşme, fatura, portfolyo, vb.) sunmak, b) Yeterlilik kapsamında yer alan yeterlilik birimleri için tanımlanan uygulama sınavlarına katılmak. Değerlendirme sonucu olumlu olan adayların belge geçerlilik süreleri 5 yıl daha uzatılır.</w:t>
            </w:r>
          </w:p>
        </w:tc>
      </w:tr>
      <w:tr w:rsidR="001C3AF9" w:rsidRPr="005558F7" w:rsidTr="00445445">
        <w:trPr>
          <w:trHeight w:val="695"/>
        </w:trPr>
        <w:tc>
          <w:tcPr>
            <w:tcW w:w="568" w:type="dxa"/>
            <w:vAlign w:val="center"/>
          </w:tcPr>
          <w:p w:rsidR="001C3AF9" w:rsidRPr="00E03868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694" w:type="dxa"/>
            <w:vAlign w:val="center"/>
          </w:tcPr>
          <w:p w:rsidR="001C3AF9" w:rsidRPr="00E03868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1C3AF9" w:rsidRPr="0053107B" w:rsidRDefault="001C3AF9" w:rsidP="001C3AF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1C3AF9" w:rsidRPr="0053107B" w:rsidRDefault="001C3AF9" w:rsidP="001C3AF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1C3AF9" w:rsidRPr="001E0692" w:rsidRDefault="001C3AF9" w:rsidP="001C3AF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1C3AF9" w:rsidRPr="005558F7" w:rsidTr="00445445">
        <w:trPr>
          <w:trHeight w:val="1107"/>
        </w:trPr>
        <w:tc>
          <w:tcPr>
            <w:tcW w:w="568" w:type="dxa"/>
            <w:vAlign w:val="center"/>
          </w:tcPr>
          <w:p w:rsidR="001C3AF9" w:rsidRPr="00E03868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694" w:type="dxa"/>
            <w:vAlign w:val="center"/>
          </w:tcPr>
          <w:p w:rsidR="001C3AF9" w:rsidRPr="00E03868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1C3AF9" w:rsidRPr="001E0692" w:rsidRDefault="001C3AF9" w:rsidP="001C3AF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1E0692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2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1C3AF9" w:rsidRPr="001E0692" w:rsidRDefault="001C3AF9" w:rsidP="001C3AF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1C3AF9" w:rsidRPr="005558F7" w:rsidTr="00445445">
        <w:trPr>
          <w:trHeight w:val="1503"/>
        </w:trPr>
        <w:tc>
          <w:tcPr>
            <w:tcW w:w="568" w:type="dxa"/>
            <w:vAlign w:val="center"/>
          </w:tcPr>
          <w:p w:rsidR="001C3AF9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694" w:type="dxa"/>
            <w:vAlign w:val="center"/>
          </w:tcPr>
          <w:p w:rsidR="001C3AF9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1C3AF9" w:rsidRPr="0053107B" w:rsidRDefault="001C3AF9" w:rsidP="001C3AF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1C3AF9" w:rsidRPr="0053107B" w:rsidRDefault="001C3AF9" w:rsidP="001C3AF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1C3AF9" w:rsidRPr="001E0692" w:rsidRDefault="001C3AF9" w:rsidP="001C3AF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3" w:history="1">
              <w:r w:rsidRPr="0053107B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1C3AF9" w:rsidRPr="005558F7" w:rsidTr="00445445">
        <w:trPr>
          <w:trHeight w:val="789"/>
        </w:trPr>
        <w:tc>
          <w:tcPr>
            <w:tcW w:w="568" w:type="dxa"/>
            <w:vAlign w:val="center"/>
          </w:tcPr>
          <w:p w:rsidR="001C3AF9" w:rsidRPr="00E03868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694" w:type="dxa"/>
            <w:vAlign w:val="center"/>
          </w:tcPr>
          <w:p w:rsidR="001C3AF9" w:rsidRPr="00E03868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1C3AF9" w:rsidRPr="001E0692" w:rsidRDefault="001C3AF9" w:rsidP="001C3AF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4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1C3AF9" w:rsidRPr="005558F7" w:rsidTr="00445445">
        <w:trPr>
          <w:trHeight w:val="517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1C3AF9" w:rsidRPr="00E03868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1C3AF9" w:rsidRPr="00E03868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1C3AF9" w:rsidRPr="001E0692" w:rsidRDefault="001C3AF9" w:rsidP="001C3AF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5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1C3AF9" w:rsidTr="00445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1C3AF9" w:rsidRPr="003F3E40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3F3E40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694" w:type="dxa"/>
            <w:hideMark/>
          </w:tcPr>
          <w:p w:rsidR="001C3AF9" w:rsidRPr="003F3E40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3F3E40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1C3AF9" w:rsidRPr="003F3E40" w:rsidRDefault="001C3AF9" w:rsidP="001C3AF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F3E4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1C3AF9" w:rsidTr="00445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1C3AF9" w:rsidRPr="003F3E40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3F3E40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2694" w:type="dxa"/>
            <w:hideMark/>
          </w:tcPr>
          <w:p w:rsidR="001C3AF9" w:rsidRPr="003F3E40" w:rsidRDefault="001C3AF9" w:rsidP="001C3AF9">
            <w:pPr>
              <w:pStyle w:val="Balk4"/>
              <w:spacing w:before="0" w:after="40"/>
              <w:outlineLvl w:val="3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3F3E40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1C3AF9" w:rsidRPr="003F3E40" w:rsidRDefault="001C3AF9" w:rsidP="001C3AF9">
            <w:pPr>
              <w:spacing w:after="40"/>
              <w:rPr>
                <w:b/>
              </w:rPr>
            </w:pPr>
            <w:r w:rsidRPr="003F3E40">
              <w:rPr>
                <w:b/>
              </w:rPr>
              <w:t xml:space="preserve">EK A1-1: Yeterlilik Biriminin Kazandırılması için Tavsiye Edilen Eğitime İlişkin Bilgiler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 İş Sağlığı ve Güvenliği ve Çevre Koruma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1.1. İş sağlığı ve güvenliği (İSG) mevzuatı ve frezeleme uygulamalarında İSG kuralları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1.2. Çalışma ortamında talaş, hammadde, kimyasallar, gürültü ve benzeri unsurların İSG açısından etkileri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1.3. Mesleki sağlık riskleri ve koruma önlemleri (iş hijyeni, iş süreçlerinde doğru ergonomi, sağlığı sürdürme önlemleri ve benzeri)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1.4. Çalışma ortamında güvenlik işaretleri ile uyarı şerit ve levhalarının anlamları, işlevleri ve doğru kullanımları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1.5. Frezeleme uygulamalarında işlere göre kişisel koruyucu donanımlar ve kullanım teknikleri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1.6. Acil durum planları ve uygulamaları ile çalışma ortamındaki acil durumlarda doğru davranma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1.7. Olası iş kazaları, kaza durumundaki doğru davranış ve yükümlülükler ile ilkyardım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1.8. Çalışma ortamında yangınları önleme ve yangına müdahale yöntemleri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1.9. Frezeleme makine, donanım ve araç gereçleri ile güvenli çalışma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1.10. Çevre koruma mevzuatı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1.11. Sektörel çevre sorunları ile frezelemede üretimin çevre için oluşturduğu tehlike ve riskler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1.12. Frezeleme uygulamalarında oluşan atıkların özellikleri ve çevreye etkileri 1.13. Frezeleme uygulamalarında oluşan atıkların ayrıştırılması, depolanması ve </w:t>
            </w:r>
            <w:r w:rsidRPr="003F3E40">
              <w:lastRenderedPageBreak/>
              <w:t xml:space="preserve">bertarafı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1.14. Frezeleme uygulamalarından çıkan geri dönüşümlü madde/malzemeler ve geri dönüşüm uygulamaları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 İş Organizasyonu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2.1. Frezelemede iş planlaması ve iş süreçlerinin üretim planları ve kurallarına göre yürütülmesi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2.2. Frezelemede iş programı ve iş planlaması ilişkisi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2.3. İş ve işlem süreçlerinde bildirimler, ekip iletişimi ve koordinasyonu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2.4. İş kayıtları ve raporların (kalite kayıtları dahil) içeriğinin üretim süreçleri ve işlemler ile ilişkileri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3. Kalite Süreçleri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3.1. Frezelemede kalite süreçleri ulusal ve uluslararası normlar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3.2. Frezelemede iş ve işlemlere göre tolerans ve sapmalar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3.3. Frezelemede olası hatalara karşı önlemler ve hata giderme yöntemleri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>3.4. Frezeleme uygulamalarında makine, malzeme, donanım ve araç, gereçlerle ilgili kalite kuralları ve uygulamaları</w:t>
            </w:r>
          </w:p>
          <w:p w:rsidR="001C3AF9" w:rsidRPr="003F3E40" w:rsidRDefault="001C3AF9" w:rsidP="001C3AF9">
            <w:pPr>
              <w:spacing w:after="40"/>
              <w:rPr>
                <w:b/>
              </w:rPr>
            </w:pPr>
            <w:r w:rsidRPr="003F3E40">
              <w:rPr>
                <w:b/>
              </w:rPr>
              <w:t>EK A2-1: Yeterlilik Biriminin Kazandırılması için Tavsiye Edilen Eğitime İlişkin Bilgiler: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 Frezecilik Teknolojisi ve Makine ve Donanımların Kontrol, Temizlik, Bakım ve Arıza Uygulamaları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1.1. Meslekle ilgili temel kavramlar, kodlar, terimler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1.2. Üretimsel olarak frezeleme işlem süreçleri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1.3. Makinenin mekanik arıza türleri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1.4. Makinenin durdurulmasını gerektiren durumlar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1.5. Freze tezgahlarının yapısal ve teknik özellikleri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1.6. Freze tezgahı yardımcı araçları (aksesuarlar)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1.7. Çalışma ömrü limitli (kesici takım uçları, ve benzeri) parçalar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1.8. Freze tezgahı, donanımlar ve yardımcı araçların kontrol, temizlik ve bakım uygulamaları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1.9. Freze uygulamalarında kullanılan ölçme ve kontrol aletleri, kullanımları, kalibrasyon ve bakımları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1.10. Freze tezgahı ve donanımlarda arıza tespiti ve basit arıza giderme yöntemleri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 Üretilecek Parçaya Uygun İş Programı Oluşturma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2.1. Parçaya ilişkin teknik resmi okuma ve değerlendirme 12UY0081-3/A2 Freze Uygulamaları Tarih:28/04/2021 Rev. No:01 ©Mesleki Yeterlilik Kurumu 10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2.2. Parçaya uygun hammaddenin ölçülerini belirleme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2.3. İş parçasının tezgâh mengenesine bağlanma yöntemleri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2.4. İş parçasının tezgâh tablasına bağlanma yöntemleri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2.5. İş parçasının ayna (divizör, döner tabla, karşılıklı punta veya aparat) ile bağlanma yöntemleri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2.6. Parçanın ve makinenin işlemler öncesi kontrolleri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2.7. Parça, işlem ve malzemenin türüne uygun başlık/tutucu/ mors kovanı/ pens/ mandren/ malafa ve benzeri takımlar ile kesici takımları belirleme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2.8. Frezelemede kesme ve soğutma sıvılarının tür ve özellikleri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2.9. İşlem ve malzemeye göre kesme ve soğutma sıvısı belirleme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2.10. İşlem, malzeme ve kesici takıma uygun paso/talaş miktarı hesaplama ve ilgili tablonun kullanımı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lastRenderedPageBreak/>
              <w:t xml:space="preserve">2.11. İşlem ve malzemenin türüne uygun üretim parametrelerini hesaplama ve ilgili tablonun kullanımı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2.12. İş ve işleme uygun ölçme ve kontrol alet/cihazları belirlerleme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3. Yüzey, Kanal, Cep Frezeleme ile Delik Açma İşlemlerinde Freze Tezgahının Üretime Hazırlanması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3.1. İş ve işleme göre başlıkların/tutucuların tür, yapı ve özellikleri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3.2. İş ve işleme göre kesici takımların tür, yapı ve özellikleri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3.3. Başlıkların/tutucuların tür, yapı ve özelliklerine göre freze tezgahına bağlanmaları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3.4. Kesici takımların tür, yapı ve özelliklerine göre freze tezgahına bağlanmaları 3.5. İş parçasının özelliğine göre tezgâha bağlama işlemleri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3.6. İş parçasına ve işlemlerine göre freze tezgâhı ayarları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4. Genel Frezeleme İşlemleriyle Üretim Uygulamaları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4.1. Yüzey, kanal, cep frezeleme ile delik açma işlemlerinde üretim parametreleri 4.2. Yüzey frezelemesi yöntem ve işlemleri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4.3. Kanal ve cep frezelemesi yöntem ve işlemleri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4.4. Delik açma yöntem ve işlemleri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4.5. Yüzey, kanal, cep frezeleme ile delik açma işlemlerinde ortaya çıkabilecek üretim hataları ve bunların olası kaynakları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4.6. Üretim sonu iş parçalarının temizlik işlemleri 4.7. Üretim sonunda, tezgah, takım ve donanımların söküm ve temizliği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5. Genel Frezeleme İşlemlerinde İSG ve Çevre Koruma Önlemlerini Uygulama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5.1. İşleme ve freze tezgahı koşullarına uygun KKD kullanımı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5.2. İşlemlere göre malzeme ve kimyasalların güvenli kullanımı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 xml:space="preserve">5.3. Çalışma ortamında atık uygulamaları </w:t>
            </w:r>
          </w:p>
          <w:p w:rsidR="001C3AF9" w:rsidRPr="003F3E40" w:rsidRDefault="001C3AF9" w:rsidP="001C3AF9">
            <w:pPr>
              <w:spacing w:after="40"/>
            </w:pPr>
            <w:r w:rsidRPr="003F3E40">
              <w:t>5.4. Çalışma ortamında talaşın geri dönüşüm uygulamaları</w:t>
            </w:r>
          </w:p>
        </w:tc>
      </w:tr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  <w:bookmarkStart w:id="0" w:name="_GoBack"/>
      <w:bookmarkEnd w:id="0"/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default" r:id="rId16"/>
      <w:footerReference w:type="default" r:id="rId17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64" w:rsidRDefault="002E5864" w:rsidP="00D57DA4">
      <w:pPr>
        <w:spacing w:after="0" w:line="240" w:lineRule="auto"/>
      </w:pPr>
      <w:r>
        <w:separator/>
      </w:r>
    </w:p>
  </w:endnote>
  <w:endnote w:type="continuationSeparator" w:id="0">
    <w:p w:rsidR="002E5864" w:rsidRDefault="002E5864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062B18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</w:t>
    </w:r>
    <w:r w:rsidR="00C60BD7">
      <w:rPr>
        <w:rFonts w:ascii="Tahoma" w:hAnsi="Tahoma" w:cs="Tahoma"/>
        <w:sz w:val="20"/>
        <w:szCs w:val="20"/>
      </w:rPr>
      <w:t>7</w:t>
    </w:r>
    <w:r w:rsidR="00B940A3">
      <w:rPr>
        <w:rFonts w:ascii="Tahoma" w:hAnsi="Tahoma" w:cs="Tahoma"/>
        <w:sz w:val="20"/>
        <w:szCs w:val="20"/>
      </w:rPr>
      <w:t>4</w:t>
    </w:r>
    <w:r w:rsidR="00115705">
      <w:rPr>
        <w:rFonts w:ascii="Tahoma" w:hAnsi="Tahoma" w:cs="Tahoma"/>
        <w:sz w:val="20"/>
        <w:szCs w:val="20"/>
      </w:rPr>
      <w:t>_REV0</w:t>
    </w:r>
    <w:r w:rsidR="00D963A0">
      <w:rPr>
        <w:rFonts w:ascii="Tahoma" w:hAnsi="Tahoma" w:cs="Tahoma"/>
        <w:sz w:val="20"/>
        <w:szCs w:val="20"/>
      </w:rPr>
      <w:t>2</w:t>
    </w:r>
    <w:r w:rsidR="00115705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D963A0">
      <w:rPr>
        <w:rFonts w:ascii="Tahoma" w:hAnsi="Tahoma" w:cs="Tahoma"/>
        <w:sz w:val="20"/>
        <w:szCs w:val="20"/>
      </w:rPr>
      <w:t>14.06.2022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D963A0">
      <w:rPr>
        <w:rStyle w:val="SayfaNumaras"/>
        <w:rFonts w:ascii="Tahoma" w:hAnsi="Tahoma" w:cs="Tahoma"/>
        <w:noProof/>
        <w:sz w:val="20"/>
        <w:szCs w:val="20"/>
      </w:rPr>
      <w:t>4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D963A0">
      <w:rPr>
        <w:rStyle w:val="SayfaNumaras"/>
        <w:rFonts w:ascii="Tahoma" w:hAnsi="Tahoma" w:cs="Tahoma"/>
        <w:noProof/>
        <w:sz w:val="20"/>
        <w:szCs w:val="20"/>
      </w:rPr>
      <w:t>4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64" w:rsidRDefault="002E5864" w:rsidP="00D57DA4">
      <w:pPr>
        <w:spacing w:after="0" w:line="240" w:lineRule="auto"/>
      </w:pPr>
      <w:r>
        <w:separator/>
      </w:r>
    </w:p>
  </w:footnote>
  <w:footnote w:type="continuationSeparator" w:id="0">
    <w:p w:rsidR="002E5864" w:rsidRDefault="002E5864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484D0A" w:rsidRDefault="00E95652" w:rsidP="001228B2">
    <w:pPr>
      <w:pStyle w:val="KonuBal"/>
      <w:jc w:val="right"/>
      <w:rPr>
        <w:rStyle w:val="HafifVurgulama"/>
        <w:i w:val="0"/>
        <w:iCs w:val="0"/>
        <w:color w:val="17365D" w:themeColor="text2" w:themeShade="BF"/>
        <w:sz w:val="28"/>
        <w:szCs w:val="36"/>
      </w:rPr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159707A5" wp14:editId="5E0D08AD">
          <wp:simplePos x="0" y="0"/>
          <wp:positionH relativeFrom="column">
            <wp:posOffset>78740</wp:posOffset>
          </wp:positionH>
          <wp:positionV relativeFrom="paragraph">
            <wp:posOffset>-93345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15C">
      <w:t xml:space="preserve">               </w:t>
    </w:r>
    <w:r w:rsidR="003E7ADB">
      <w:rPr>
        <w:sz w:val="28"/>
        <w:szCs w:val="36"/>
      </w:rPr>
      <w:t>FREZECİ</w:t>
    </w:r>
    <w:r w:rsidR="00484D0A" w:rsidRPr="00484D0A">
      <w:rPr>
        <w:sz w:val="28"/>
        <w:szCs w:val="36"/>
      </w:rPr>
      <w:t xml:space="preserve"> – SEVİYE </w:t>
    </w:r>
    <w:r w:rsidR="003E7ADB">
      <w:rPr>
        <w:sz w:val="28"/>
        <w:szCs w:val="36"/>
      </w:rPr>
      <w:t>3</w:t>
    </w:r>
    <w:r w:rsidR="005F28E3">
      <w:rPr>
        <w:sz w:val="28"/>
        <w:szCs w:val="36"/>
      </w:rPr>
      <w:t xml:space="preserve"> – REV0</w:t>
    </w:r>
    <w:r w:rsidR="003E7ADB">
      <w:rPr>
        <w:sz w:val="28"/>
        <w:szCs w:val="36"/>
      </w:rPr>
      <w:t>1</w:t>
    </w:r>
  </w:p>
  <w:p w:rsidR="00D57DA4" w:rsidRPr="00E95652" w:rsidRDefault="00BA315C" w:rsidP="001228B2">
    <w:pPr>
      <w:pStyle w:val="KonuBal"/>
      <w:jc w:val="right"/>
      <w:rPr>
        <w:sz w:val="28"/>
        <w:szCs w:val="28"/>
      </w:rPr>
    </w:pPr>
    <w:r w:rsidRPr="00E95652">
      <w:rPr>
        <w:sz w:val="28"/>
        <w:szCs w:val="28"/>
      </w:rPr>
      <w:t xml:space="preserve">                           </w:t>
    </w:r>
    <w:r w:rsidR="00FC4C22" w:rsidRPr="00E95652">
      <w:rPr>
        <w:sz w:val="28"/>
        <w:szCs w:val="28"/>
      </w:rPr>
      <w:t xml:space="preserve">                                    </w:t>
    </w:r>
    <w:r w:rsidR="006D5EB9" w:rsidRPr="00E95652">
      <w:rPr>
        <w:sz w:val="28"/>
        <w:szCs w:val="28"/>
      </w:rPr>
      <w:t xml:space="preserve">     </w:t>
    </w:r>
    <w:r w:rsidR="00D57DA4" w:rsidRPr="00E95652">
      <w:rPr>
        <w:sz w:val="28"/>
        <w:szCs w:val="28"/>
      </w:rPr>
      <w:t xml:space="preserve">BELGELENDİRME </w:t>
    </w:r>
    <w:r w:rsidR="000568EF" w:rsidRPr="000568EF">
      <w:rPr>
        <w:color w:val="FF0000"/>
        <w:sz w:val="28"/>
        <w:szCs w:val="28"/>
      </w:rPr>
      <w:t>KILAVUZU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5B0B"/>
    <w:rsid w:val="000568EF"/>
    <w:rsid w:val="00062B18"/>
    <w:rsid w:val="000A4C28"/>
    <w:rsid w:val="000A68D0"/>
    <w:rsid w:val="000C473B"/>
    <w:rsid w:val="000F126D"/>
    <w:rsid w:val="000F6E43"/>
    <w:rsid w:val="00100477"/>
    <w:rsid w:val="00113EDD"/>
    <w:rsid w:val="00115705"/>
    <w:rsid w:val="001228B2"/>
    <w:rsid w:val="00130151"/>
    <w:rsid w:val="001365AE"/>
    <w:rsid w:val="0015582D"/>
    <w:rsid w:val="0015734A"/>
    <w:rsid w:val="00192BC0"/>
    <w:rsid w:val="0019734E"/>
    <w:rsid w:val="001B13F0"/>
    <w:rsid w:val="001B2B31"/>
    <w:rsid w:val="001B781F"/>
    <w:rsid w:val="001C3AF9"/>
    <w:rsid w:val="001C7962"/>
    <w:rsid w:val="001D6A00"/>
    <w:rsid w:val="001E0692"/>
    <w:rsid w:val="001F33D8"/>
    <w:rsid w:val="00234BAB"/>
    <w:rsid w:val="002350BA"/>
    <w:rsid w:val="00240B85"/>
    <w:rsid w:val="00242321"/>
    <w:rsid w:val="00254F57"/>
    <w:rsid w:val="002A02C8"/>
    <w:rsid w:val="002B0359"/>
    <w:rsid w:val="002B37C5"/>
    <w:rsid w:val="002E42AD"/>
    <w:rsid w:val="002E5864"/>
    <w:rsid w:val="003041A3"/>
    <w:rsid w:val="003453B1"/>
    <w:rsid w:val="00345EFE"/>
    <w:rsid w:val="003511E7"/>
    <w:rsid w:val="00354F21"/>
    <w:rsid w:val="00374977"/>
    <w:rsid w:val="003751E2"/>
    <w:rsid w:val="00380C11"/>
    <w:rsid w:val="00395863"/>
    <w:rsid w:val="003D196F"/>
    <w:rsid w:val="003E540E"/>
    <w:rsid w:val="003E560A"/>
    <w:rsid w:val="003E7ADB"/>
    <w:rsid w:val="003F316C"/>
    <w:rsid w:val="003F3E40"/>
    <w:rsid w:val="00423D74"/>
    <w:rsid w:val="004418D5"/>
    <w:rsid w:val="00445445"/>
    <w:rsid w:val="00456D82"/>
    <w:rsid w:val="00465EBA"/>
    <w:rsid w:val="00473DAC"/>
    <w:rsid w:val="004757F4"/>
    <w:rsid w:val="0047791D"/>
    <w:rsid w:val="004827BF"/>
    <w:rsid w:val="00484D0A"/>
    <w:rsid w:val="004B4CE2"/>
    <w:rsid w:val="004F0A84"/>
    <w:rsid w:val="004F0CD7"/>
    <w:rsid w:val="00501B72"/>
    <w:rsid w:val="0053107B"/>
    <w:rsid w:val="005558F7"/>
    <w:rsid w:val="0057348F"/>
    <w:rsid w:val="00574260"/>
    <w:rsid w:val="00575065"/>
    <w:rsid w:val="005908FE"/>
    <w:rsid w:val="005E5722"/>
    <w:rsid w:val="005F28E3"/>
    <w:rsid w:val="005F3B9D"/>
    <w:rsid w:val="006573FC"/>
    <w:rsid w:val="006817B0"/>
    <w:rsid w:val="006B0260"/>
    <w:rsid w:val="006C4F10"/>
    <w:rsid w:val="006D5EB9"/>
    <w:rsid w:val="006F0163"/>
    <w:rsid w:val="006F46CB"/>
    <w:rsid w:val="006F6EB1"/>
    <w:rsid w:val="00705AA5"/>
    <w:rsid w:val="007410CC"/>
    <w:rsid w:val="00742D90"/>
    <w:rsid w:val="007639C4"/>
    <w:rsid w:val="007668E1"/>
    <w:rsid w:val="00774DB9"/>
    <w:rsid w:val="007A033D"/>
    <w:rsid w:val="007B2582"/>
    <w:rsid w:val="007E12AE"/>
    <w:rsid w:val="007F1E78"/>
    <w:rsid w:val="007F1F12"/>
    <w:rsid w:val="007F33BB"/>
    <w:rsid w:val="007F4368"/>
    <w:rsid w:val="0080317F"/>
    <w:rsid w:val="00816103"/>
    <w:rsid w:val="00843EAD"/>
    <w:rsid w:val="00852534"/>
    <w:rsid w:val="00873285"/>
    <w:rsid w:val="0089502A"/>
    <w:rsid w:val="008A4CFE"/>
    <w:rsid w:val="00940B74"/>
    <w:rsid w:val="009928C4"/>
    <w:rsid w:val="00992B6E"/>
    <w:rsid w:val="009B079D"/>
    <w:rsid w:val="009C04F6"/>
    <w:rsid w:val="009C6B13"/>
    <w:rsid w:val="009C6DC9"/>
    <w:rsid w:val="009F394C"/>
    <w:rsid w:val="00A32E97"/>
    <w:rsid w:val="00A3449B"/>
    <w:rsid w:val="00A45602"/>
    <w:rsid w:val="00A47A00"/>
    <w:rsid w:val="00AA7CF3"/>
    <w:rsid w:val="00AD168C"/>
    <w:rsid w:val="00AE6532"/>
    <w:rsid w:val="00B05269"/>
    <w:rsid w:val="00B12E6A"/>
    <w:rsid w:val="00B91025"/>
    <w:rsid w:val="00B940A3"/>
    <w:rsid w:val="00BA315C"/>
    <w:rsid w:val="00BE0E6D"/>
    <w:rsid w:val="00C111BF"/>
    <w:rsid w:val="00C16936"/>
    <w:rsid w:val="00C21850"/>
    <w:rsid w:val="00C40AC1"/>
    <w:rsid w:val="00C47E01"/>
    <w:rsid w:val="00C60BD7"/>
    <w:rsid w:val="00C74147"/>
    <w:rsid w:val="00C74320"/>
    <w:rsid w:val="00C76032"/>
    <w:rsid w:val="00C87F6B"/>
    <w:rsid w:val="00C9496B"/>
    <w:rsid w:val="00CA6698"/>
    <w:rsid w:val="00D1675C"/>
    <w:rsid w:val="00D2638B"/>
    <w:rsid w:val="00D441C4"/>
    <w:rsid w:val="00D4680E"/>
    <w:rsid w:val="00D46A74"/>
    <w:rsid w:val="00D46C87"/>
    <w:rsid w:val="00D57DA4"/>
    <w:rsid w:val="00D60500"/>
    <w:rsid w:val="00D60739"/>
    <w:rsid w:val="00D61CA4"/>
    <w:rsid w:val="00D7147C"/>
    <w:rsid w:val="00D71FA4"/>
    <w:rsid w:val="00D84EA3"/>
    <w:rsid w:val="00D8563C"/>
    <w:rsid w:val="00D963A0"/>
    <w:rsid w:val="00DB677D"/>
    <w:rsid w:val="00E03868"/>
    <w:rsid w:val="00E14212"/>
    <w:rsid w:val="00E53EA0"/>
    <w:rsid w:val="00E95652"/>
    <w:rsid w:val="00ED7136"/>
    <w:rsid w:val="00F128EE"/>
    <w:rsid w:val="00F30BC8"/>
    <w:rsid w:val="00F35142"/>
    <w:rsid w:val="00F36DEB"/>
    <w:rsid w:val="00F54E85"/>
    <w:rsid w:val="00F60CEE"/>
    <w:rsid w:val="00F74D07"/>
    <w:rsid w:val="00F75391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FE10B3"/>
  <w15:docId w15:val="{B6C0D0E8-7EA6-4A07-95B9-2AAA7238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cscert.com" TargetMode="External"/><Relationship Id="rId10" Type="http://schemas.openxmlformats.org/officeDocument/2006/relationships/hyperlink" Target="http://www.tcscert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guler\Downloads\12UY0087-4%20Rev%2002%20Metal%20Levha%20%25C4%25B0%25C5%259Fleme%20Tezg%25C3%25A2h%20Operat%25C3%25B6r%25C3%25BC%20(3).pdf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Güler Uçar</cp:lastModifiedBy>
  <cp:revision>168</cp:revision>
  <cp:lastPrinted>2018-10-08T09:14:00Z</cp:lastPrinted>
  <dcterms:created xsi:type="dcterms:W3CDTF">2016-10-31T06:38:00Z</dcterms:created>
  <dcterms:modified xsi:type="dcterms:W3CDTF">2022-06-14T10:48:00Z</dcterms:modified>
</cp:coreProperties>
</file>